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D8A5" w14:textId="7FDD1EE6" w:rsidR="009C5A86" w:rsidRDefault="009C5A86" w:rsidP="00FD2CEF">
      <w:pPr>
        <w:jc w:val="both"/>
        <w:rPr>
          <w:rFonts w:ascii="Arial" w:eastAsiaTheme="minorHAnsi" w:hAnsi="Arial" w:cs="Arial"/>
          <w:sz w:val="20"/>
          <w:szCs w:val="20"/>
          <w:lang w:val="en-US" w:eastAsia="en-US"/>
        </w:rPr>
      </w:pPr>
    </w:p>
    <w:p w14:paraId="4EEECA86" w14:textId="77777777" w:rsidR="00CC540E" w:rsidRPr="00A53663" w:rsidRDefault="00CC540E" w:rsidP="00CC540E">
      <w:pPr>
        <w:jc w:val="both"/>
        <w:rPr>
          <w:rFonts w:ascii="Arial" w:eastAsiaTheme="minorHAnsi" w:hAnsi="Arial" w:cs="Arial"/>
          <w:sz w:val="20"/>
          <w:szCs w:val="20"/>
          <w:lang w:val="de-CH"/>
        </w:rPr>
      </w:pPr>
      <w:r w:rsidRPr="00A53663">
        <w:rPr>
          <w:rFonts w:ascii="Arial" w:hAnsi="Arial"/>
          <w:sz w:val="20"/>
          <w:lang w:val="de-CH"/>
        </w:rPr>
        <w:t>Adresse</w:t>
      </w:r>
    </w:p>
    <w:p w14:paraId="39DC5BC2" w14:textId="77777777" w:rsidR="00CC540E" w:rsidRPr="00A53663" w:rsidRDefault="00CC540E" w:rsidP="00CC540E">
      <w:pPr>
        <w:jc w:val="both"/>
        <w:rPr>
          <w:rFonts w:ascii="Arial" w:eastAsiaTheme="minorHAnsi" w:hAnsi="Arial" w:cs="Arial"/>
          <w:sz w:val="20"/>
          <w:szCs w:val="20"/>
          <w:lang w:val="de-CH" w:eastAsia="en-US"/>
        </w:rPr>
      </w:pPr>
    </w:p>
    <w:p w14:paraId="55B8FC97" w14:textId="77777777" w:rsidR="00CC540E" w:rsidRPr="00A53663" w:rsidRDefault="00CC540E" w:rsidP="00CC540E">
      <w:pPr>
        <w:jc w:val="both"/>
        <w:rPr>
          <w:rFonts w:ascii="Arial" w:eastAsiaTheme="minorHAnsi" w:hAnsi="Arial" w:cs="Arial"/>
          <w:sz w:val="20"/>
          <w:szCs w:val="20"/>
          <w:lang w:val="de-CH" w:eastAsia="en-US"/>
        </w:rPr>
      </w:pPr>
    </w:p>
    <w:p w14:paraId="34BF01E6" w14:textId="77777777" w:rsidR="00CC540E" w:rsidRPr="00A53663" w:rsidRDefault="00CC540E" w:rsidP="00CC540E">
      <w:pPr>
        <w:jc w:val="both"/>
        <w:rPr>
          <w:rFonts w:ascii="Arial" w:eastAsiaTheme="minorHAnsi" w:hAnsi="Arial" w:cs="Arial"/>
          <w:sz w:val="20"/>
          <w:szCs w:val="20"/>
          <w:lang w:val="de-CH" w:eastAsia="en-US"/>
        </w:rPr>
      </w:pPr>
    </w:p>
    <w:p w14:paraId="1EB8B49D" w14:textId="77777777" w:rsidR="00CC540E" w:rsidRPr="00A53663" w:rsidRDefault="00CC540E" w:rsidP="00CC540E">
      <w:pPr>
        <w:jc w:val="both"/>
        <w:rPr>
          <w:rFonts w:ascii="Arial" w:eastAsiaTheme="minorHAnsi" w:hAnsi="Arial" w:cs="Arial"/>
          <w:sz w:val="20"/>
          <w:szCs w:val="20"/>
          <w:lang w:val="de-CH" w:eastAsia="en-US"/>
        </w:rPr>
      </w:pPr>
    </w:p>
    <w:p w14:paraId="2EF5BFA1" w14:textId="77777777" w:rsidR="00CC540E" w:rsidRPr="00A53663" w:rsidRDefault="00CC540E" w:rsidP="00CC540E">
      <w:pPr>
        <w:jc w:val="both"/>
        <w:rPr>
          <w:rFonts w:ascii="Arial" w:eastAsiaTheme="minorHAnsi" w:hAnsi="Arial" w:cs="Arial"/>
          <w:sz w:val="20"/>
          <w:szCs w:val="20"/>
          <w:lang w:val="de-CH" w:eastAsia="en-US"/>
        </w:rPr>
      </w:pPr>
    </w:p>
    <w:p w14:paraId="24C5601A" w14:textId="77777777" w:rsidR="00CC540E" w:rsidRPr="00A53663" w:rsidRDefault="00CC540E" w:rsidP="00CC540E">
      <w:pPr>
        <w:jc w:val="both"/>
        <w:rPr>
          <w:rFonts w:ascii="Arial" w:eastAsiaTheme="minorHAnsi" w:hAnsi="Arial" w:cs="Arial"/>
          <w:sz w:val="20"/>
          <w:szCs w:val="20"/>
          <w:lang w:val="de-CH" w:eastAsia="en-US"/>
        </w:rPr>
      </w:pPr>
    </w:p>
    <w:p w14:paraId="43048C67" w14:textId="77777777" w:rsidR="00CC540E" w:rsidRPr="00A53663" w:rsidRDefault="00CC540E" w:rsidP="00CC540E">
      <w:pPr>
        <w:jc w:val="both"/>
        <w:rPr>
          <w:rFonts w:ascii="Arial" w:eastAsiaTheme="minorHAnsi" w:hAnsi="Arial" w:cs="Arial"/>
          <w:sz w:val="20"/>
          <w:szCs w:val="20"/>
          <w:lang w:val="de-CH" w:eastAsia="en-US"/>
        </w:rPr>
      </w:pPr>
    </w:p>
    <w:p w14:paraId="208B25C9" w14:textId="77777777" w:rsidR="00CC540E" w:rsidRPr="00A53663" w:rsidRDefault="00CC540E" w:rsidP="00CC540E">
      <w:pPr>
        <w:jc w:val="both"/>
        <w:rPr>
          <w:rFonts w:ascii="Arial" w:eastAsiaTheme="minorHAnsi" w:hAnsi="Arial" w:cs="Arial"/>
          <w:sz w:val="20"/>
          <w:szCs w:val="20"/>
          <w:lang w:val="de-CH" w:eastAsia="en-US"/>
        </w:rPr>
      </w:pPr>
    </w:p>
    <w:p w14:paraId="153545BF" w14:textId="77777777" w:rsidR="00CC540E" w:rsidRPr="00A53663" w:rsidRDefault="00CC540E" w:rsidP="00CC540E">
      <w:pPr>
        <w:jc w:val="right"/>
        <w:rPr>
          <w:rFonts w:ascii="Arial" w:eastAsiaTheme="minorHAnsi" w:hAnsi="Arial" w:cs="Arial"/>
          <w:sz w:val="20"/>
          <w:szCs w:val="20"/>
          <w:lang w:val="de-CH"/>
        </w:rPr>
      </w:pPr>
      <w:r w:rsidRPr="00A53663">
        <w:rPr>
          <w:rFonts w:ascii="Arial" w:hAnsi="Arial"/>
          <w:sz w:val="20"/>
          <w:lang w:val="de-CH"/>
        </w:rPr>
        <w:t>Dezember 2025</w:t>
      </w:r>
    </w:p>
    <w:p w14:paraId="37C16CEE" w14:textId="77777777" w:rsidR="00CC540E" w:rsidRPr="00A53663" w:rsidRDefault="00CC540E" w:rsidP="00CC540E">
      <w:pPr>
        <w:jc w:val="both"/>
        <w:rPr>
          <w:rFonts w:ascii="Arial" w:eastAsiaTheme="minorHAnsi" w:hAnsi="Arial" w:cs="Arial"/>
          <w:sz w:val="20"/>
          <w:szCs w:val="20"/>
          <w:lang w:val="de-CH" w:eastAsia="en-US"/>
        </w:rPr>
      </w:pPr>
    </w:p>
    <w:p w14:paraId="127CB750" w14:textId="77777777" w:rsidR="00CC540E" w:rsidRPr="00A53663" w:rsidRDefault="00CC540E" w:rsidP="00CC540E">
      <w:pPr>
        <w:jc w:val="both"/>
        <w:rPr>
          <w:rFonts w:ascii="Arial" w:eastAsiaTheme="minorHAnsi" w:hAnsi="Arial" w:cs="Arial"/>
          <w:b/>
          <w:bCs/>
          <w:sz w:val="20"/>
          <w:szCs w:val="20"/>
          <w:lang w:val="de-CH"/>
        </w:rPr>
      </w:pPr>
      <w:r w:rsidRPr="00A53663">
        <w:rPr>
          <w:rFonts w:ascii="Arial" w:hAnsi="Arial"/>
          <w:b/>
          <w:sz w:val="20"/>
          <w:lang w:val="de-CH"/>
        </w:rPr>
        <w:t>Verschmelzung</w:t>
      </w:r>
      <w:r w:rsidRPr="00A53663">
        <w:rPr>
          <w:rFonts w:ascii="Arial" w:hAnsi="Arial"/>
          <w:sz w:val="20"/>
          <w:lang w:val="de-CH"/>
        </w:rPr>
        <w:t xml:space="preserve"> des Teilfonds Allianz Global Investors Fund – </w:t>
      </w:r>
      <w:r w:rsidRPr="00A53663">
        <w:rPr>
          <w:rFonts w:ascii="Arial" w:hAnsi="Arial"/>
          <w:b/>
          <w:sz w:val="20"/>
          <w:lang w:val="de-CH"/>
        </w:rPr>
        <w:t>Allianz Trend and Brands</w:t>
      </w:r>
      <w:r w:rsidRPr="00A53663">
        <w:rPr>
          <w:rFonts w:ascii="Arial" w:hAnsi="Arial"/>
          <w:sz w:val="20"/>
          <w:lang w:val="de-CH"/>
        </w:rPr>
        <w:t xml:space="preserve"> (untergehender Teilfonds) mit dem Teilfonds Allianz Global Investors Fund – </w:t>
      </w:r>
      <w:r w:rsidRPr="00A53663">
        <w:rPr>
          <w:rFonts w:ascii="Arial" w:hAnsi="Arial"/>
          <w:b/>
          <w:sz w:val="20"/>
          <w:lang w:val="de-CH"/>
        </w:rPr>
        <w:t xml:space="preserve">Allianz Dynamic Multi Asset </w:t>
      </w:r>
      <w:proofErr w:type="spellStart"/>
      <w:r w:rsidRPr="00A53663">
        <w:rPr>
          <w:rFonts w:ascii="Arial" w:hAnsi="Arial"/>
          <w:b/>
          <w:sz w:val="20"/>
          <w:lang w:val="de-CH"/>
        </w:rPr>
        <w:t>Strategy</w:t>
      </w:r>
      <w:proofErr w:type="spellEnd"/>
      <w:r w:rsidRPr="00A53663">
        <w:rPr>
          <w:rFonts w:ascii="Arial" w:hAnsi="Arial"/>
          <w:b/>
          <w:sz w:val="20"/>
          <w:lang w:val="de-CH"/>
        </w:rPr>
        <w:t xml:space="preserve"> SRI 30</w:t>
      </w:r>
      <w:r w:rsidRPr="00A53663">
        <w:rPr>
          <w:rFonts w:ascii="Arial" w:hAnsi="Arial"/>
          <w:sz w:val="20"/>
          <w:lang w:val="de-CH"/>
        </w:rPr>
        <w:t xml:space="preserve"> (aufnehmender Teilfonds) zum </w:t>
      </w:r>
      <w:r w:rsidRPr="00A53663">
        <w:rPr>
          <w:rFonts w:ascii="Arial" w:hAnsi="Arial"/>
          <w:b/>
          <w:sz w:val="20"/>
          <w:lang w:val="de-CH"/>
        </w:rPr>
        <w:t>3. Februar 2026</w:t>
      </w:r>
    </w:p>
    <w:p w14:paraId="5795E57E" w14:textId="77777777" w:rsidR="00B14D93" w:rsidRPr="00A53663" w:rsidRDefault="00B14D93" w:rsidP="00FD2CEF">
      <w:pPr>
        <w:jc w:val="both"/>
        <w:rPr>
          <w:rFonts w:ascii="Arial" w:eastAsiaTheme="minorHAnsi" w:hAnsi="Arial" w:cs="Arial"/>
          <w:sz w:val="20"/>
          <w:szCs w:val="20"/>
          <w:lang w:val="de-CH" w:eastAsia="en-US"/>
        </w:rPr>
      </w:pPr>
    </w:p>
    <w:p w14:paraId="4FB75A9B" w14:textId="6C3BCE0D" w:rsidR="00B94EB7" w:rsidRPr="00A53663" w:rsidRDefault="00B94EB7" w:rsidP="00FD2CEF">
      <w:pPr>
        <w:jc w:val="both"/>
        <w:rPr>
          <w:rFonts w:ascii="Arial" w:eastAsiaTheme="minorHAnsi" w:hAnsi="Arial" w:cs="Arial"/>
          <w:sz w:val="20"/>
          <w:szCs w:val="20"/>
          <w:lang w:val="de-CH"/>
        </w:rPr>
      </w:pPr>
      <w:r w:rsidRPr="00A53663">
        <w:rPr>
          <w:rFonts w:ascii="Arial" w:hAnsi="Arial"/>
          <w:sz w:val="20"/>
          <w:lang w:val="de-CH"/>
        </w:rPr>
        <w:t>Sehr geehrte Anteilinhaberin, sehr geehrter Anteilinhaber,</w:t>
      </w:r>
    </w:p>
    <w:p w14:paraId="66482FF1" w14:textId="728BDDB2" w:rsidR="00B94EB7" w:rsidRPr="00A53663" w:rsidRDefault="00B94EB7" w:rsidP="00FD2CEF">
      <w:pPr>
        <w:jc w:val="both"/>
        <w:rPr>
          <w:rFonts w:ascii="Arial" w:eastAsiaTheme="minorHAnsi" w:hAnsi="Arial" w:cs="Arial"/>
          <w:sz w:val="20"/>
          <w:szCs w:val="20"/>
          <w:lang w:val="de-CH" w:eastAsia="en-US"/>
        </w:rPr>
      </w:pPr>
    </w:p>
    <w:p w14:paraId="58FAF723" w14:textId="5358B2C5" w:rsidR="00B94EB7" w:rsidRPr="00A53663" w:rsidRDefault="00B94EB7" w:rsidP="00FD2CEF">
      <w:pPr>
        <w:jc w:val="both"/>
        <w:rPr>
          <w:rFonts w:ascii="Arial" w:eastAsiaTheme="minorHAnsi" w:hAnsi="Arial" w:cs="Arial"/>
          <w:sz w:val="20"/>
          <w:szCs w:val="20"/>
          <w:lang w:val="de-CH"/>
        </w:rPr>
      </w:pPr>
      <w:r w:rsidRPr="00A53663">
        <w:rPr>
          <w:rFonts w:ascii="Arial" w:hAnsi="Arial"/>
          <w:sz w:val="20"/>
          <w:lang w:val="de-CH"/>
        </w:rPr>
        <w:t xml:space="preserve">Sie halten in Ihrem Wertpapierdepot Anteile des Teilfonds Allianz Global Investors Fund – </w:t>
      </w:r>
      <w:r w:rsidRPr="00A53663">
        <w:rPr>
          <w:rFonts w:ascii="Arial" w:hAnsi="Arial"/>
          <w:b/>
          <w:sz w:val="20"/>
          <w:lang w:val="de-CH"/>
        </w:rPr>
        <w:t xml:space="preserve">Allianz Dynamic Multi Asset </w:t>
      </w:r>
      <w:proofErr w:type="spellStart"/>
      <w:r w:rsidRPr="00A53663">
        <w:rPr>
          <w:rFonts w:ascii="Arial" w:hAnsi="Arial"/>
          <w:b/>
          <w:sz w:val="20"/>
          <w:lang w:val="de-CH"/>
        </w:rPr>
        <w:t>Strategy</w:t>
      </w:r>
      <w:proofErr w:type="spellEnd"/>
      <w:r w:rsidRPr="00A53663">
        <w:rPr>
          <w:rFonts w:ascii="Arial" w:hAnsi="Arial"/>
          <w:b/>
          <w:sz w:val="20"/>
          <w:lang w:val="de-CH"/>
        </w:rPr>
        <w:t xml:space="preserve"> SRI 30</w:t>
      </w:r>
      <w:r w:rsidRPr="00A53663">
        <w:rPr>
          <w:rFonts w:ascii="Arial" w:hAnsi="Arial"/>
          <w:sz w:val="20"/>
          <w:lang w:val="de-CH"/>
        </w:rPr>
        <w:t>.</w:t>
      </w:r>
    </w:p>
    <w:p w14:paraId="43FE406C" w14:textId="6E5B8EBC" w:rsidR="00B94EB7" w:rsidRPr="00A53663" w:rsidRDefault="00B94EB7" w:rsidP="00FD2CEF">
      <w:pPr>
        <w:jc w:val="both"/>
        <w:rPr>
          <w:rFonts w:ascii="Arial" w:eastAsiaTheme="minorHAnsi" w:hAnsi="Arial" w:cs="Arial"/>
          <w:sz w:val="20"/>
          <w:szCs w:val="20"/>
          <w:lang w:val="de-CH" w:eastAsia="en-US"/>
        </w:rPr>
      </w:pPr>
    </w:p>
    <w:p w14:paraId="06F43DBD" w14:textId="312A319E" w:rsidR="00B94EB7" w:rsidRPr="005E5DC7" w:rsidRDefault="00B94EB7" w:rsidP="00FD2CEF">
      <w:pPr>
        <w:jc w:val="both"/>
        <w:rPr>
          <w:rFonts w:ascii="Arial" w:eastAsiaTheme="minorHAnsi" w:hAnsi="Arial" w:cs="Arial"/>
          <w:b/>
          <w:bCs/>
          <w:sz w:val="20"/>
          <w:szCs w:val="20"/>
        </w:rPr>
      </w:pPr>
      <w:r>
        <w:rPr>
          <w:rFonts w:ascii="Arial" w:hAnsi="Arial"/>
          <w:b/>
          <w:sz w:val="20"/>
        </w:rPr>
        <w:t>Warum erfolgt die Verschmelzung?</w:t>
      </w:r>
    </w:p>
    <w:p w14:paraId="2D3FAF49" w14:textId="7CB56482" w:rsidR="00B94EB7" w:rsidRPr="00FC4416" w:rsidRDefault="00B94EB7" w:rsidP="00FD2CEF">
      <w:pPr>
        <w:jc w:val="both"/>
        <w:rPr>
          <w:rFonts w:ascii="Arial" w:eastAsiaTheme="minorHAnsi" w:hAnsi="Arial" w:cs="Arial"/>
          <w:sz w:val="20"/>
          <w:szCs w:val="20"/>
          <w:lang w:eastAsia="en-US"/>
        </w:rPr>
      </w:pPr>
    </w:p>
    <w:p w14:paraId="15ED9215" w14:textId="77777777" w:rsidR="00CC540E" w:rsidRDefault="00CC540E" w:rsidP="00CC540E">
      <w:pPr>
        <w:jc w:val="both"/>
        <w:rPr>
          <w:rFonts w:ascii="Arial" w:hAnsi="Arial" w:cs="Arial"/>
          <w:sz w:val="20"/>
          <w:szCs w:val="20"/>
        </w:rPr>
      </w:pPr>
      <w:r>
        <w:rPr>
          <w:rFonts w:ascii="Arial" w:hAnsi="Arial"/>
          <w:sz w:val="20"/>
        </w:rPr>
        <w:t>Allianz Global Investors überprüft die ihren Anlegern angebotenen Anlagemöglichkeiten laufend, um sicherzustellen, dass unsere Produkte den Bedürfnissen und Zielen der Kunden entsprechen.</w:t>
      </w:r>
    </w:p>
    <w:p w14:paraId="5609EA4C" w14:textId="77777777" w:rsidR="00CC540E" w:rsidRPr="00FC4416" w:rsidRDefault="00CC540E" w:rsidP="00CC540E">
      <w:pPr>
        <w:jc w:val="both"/>
        <w:rPr>
          <w:rFonts w:ascii="Arial" w:hAnsi="Arial" w:cs="Arial"/>
          <w:sz w:val="20"/>
          <w:szCs w:val="20"/>
        </w:rPr>
      </w:pPr>
    </w:p>
    <w:p w14:paraId="556E4810" w14:textId="77777777" w:rsidR="00CC540E" w:rsidRDefault="00CC540E" w:rsidP="00CC540E">
      <w:pPr>
        <w:jc w:val="both"/>
        <w:rPr>
          <w:rFonts w:ascii="Arial" w:hAnsi="Arial" w:cs="Arial"/>
          <w:sz w:val="20"/>
          <w:szCs w:val="20"/>
        </w:rPr>
      </w:pPr>
      <w:r>
        <w:rPr>
          <w:rFonts w:ascii="Arial" w:hAnsi="Arial"/>
          <w:sz w:val="20"/>
        </w:rPr>
        <w:t>Nach sorgfältiger Prüfung ist der Verwaltungsrat des Allianz Global Investors Fund (die „Gesellschaft“) zu dem Schluss gekommen, dass es im besten Interesse der Anteilinhaber ist, die folgenden Teilfonds der Gesellschaft wie in der nachstehenden Tabelle dargelegt zu verschmelzen:</w:t>
      </w:r>
    </w:p>
    <w:p w14:paraId="02CF8195" w14:textId="77777777" w:rsidR="00CC540E" w:rsidRPr="00FC4416" w:rsidRDefault="00CC540E" w:rsidP="00CC540E">
      <w:pPr>
        <w:jc w:val="both"/>
        <w:rPr>
          <w:rFonts w:ascii="Arial" w:eastAsia="PMingLiU" w:hAnsi="Arial" w:cs="Arial"/>
          <w:sz w:val="20"/>
          <w:szCs w:val="20"/>
          <w:lang w:eastAsia="zh-TW"/>
        </w:rPr>
      </w:pPr>
    </w:p>
    <w:tbl>
      <w:tblPr>
        <w:tblW w:w="4885" w:type="pct"/>
        <w:tblInd w:w="108" w:type="dxa"/>
        <w:tblLook w:val="04A0" w:firstRow="1" w:lastRow="0" w:firstColumn="1" w:lastColumn="0" w:noHBand="0" w:noVBand="1"/>
      </w:tblPr>
      <w:tblGrid>
        <w:gridCol w:w="1718"/>
        <w:gridCol w:w="1489"/>
        <w:gridCol w:w="2276"/>
        <w:gridCol w:w="1361"/>
        <w:gridCol w:w="2291"/>
      </w:tblGrid>
      <w:tr w:rsidR="00CC540E" w:rsidRPr="00CA363A" w14:paraId="4791AD02" w14:textId="77777777" w:rsidTr="00C945F9">
        <w:trPr>
          <w:trHeight w:val="195"/>
          <w:tblHeader/>
        </w:trPr>
        <w:tc>
          <w:tcPr>
            <w:tcW w:w="940" w:type="pct"/>
            <w:vMerge w:val="restart"/>
            <w:tcBorders>
              <w:top w:val="single" w:sz="4" w:space="0" w:color="auto"/>
              <w:left w:val="single" w:sz="4" w:space="0" w:color="auto"/>
              <w:right w:val="single" w:sz="4" w:space="0" w:color="auto"/>
            </w:tcBorders>
            <w:shd w:val="clear" w:color="auto" w:fill="BFBFBF"/>
            <w:hideMark/>
          </w:tcPr>
          <w:p w14:paraId="6DAAD697" w14:textId="77777777" w:rsidR="00CC540E" w:rsidRPr="00CA363A" w:rsidRDefault="00CC540E" w:rsidP="00C945F9">
            <w:pPr>
              <w:rPr>
                <w:rFonts w:ascii="Arial" w:hAnsi="Arial" w:cs="Arial"/>
                <w:sz w:val="14"/>
                <w:szCs w:val="14"/>
              </w:rPr>
            </w:pPr>
            <w:r>
              <w:rPr>
                <w:rFonts w:ascii="Arial" w:hAnsi="Arial"/>
                <w:sz w:val="14"/>
              </w:rPr>
              <w:t>Name des Fonds</w:t>
            </w:r>
          </w:p>
        </w:tc>
        <w:tc>
          <w:tcPr>
            <w:tcW w:w="2061" w:type="pct"/>
            <w:gridSpan w:val="2"/>
            <w:tcBorders>
              <w:top w:val="single" w:sz="4" w:space="0" w:color="auto"/>
              <w:left w:val="nil"/>
              <w:bottom w:val="single" w:sz="4" w:space="0" w:color="auto"/>
              <w:right w:val="single" w:sz="4" w:space="0" w:color="auto"/>
            </w:tcBorders>
            <w:shd w:val="clear" w:color="auto" w:fill="BFBFBF"/>
            <w:vAlign w:val="center"/>
            <w:hideMark/>
          </w:tcPr>
          <w:p w14:paraId="4DF7582B" w14:textId="77777777" w:rsidR="00CC540E" w:rsidRPr="00CA363A" w:rsidRDefault="00CC540E" w:rsidP="00C945F9">
            <w:pPr>
              <w:jc w:val="center"/>
              <w:rPr>
                <w:rFonts w:ascii="Arial" w:hAnsi="Arial" w:cs="Arial"/>
                <w:b/>
                <w:bCs/>
                <w:sz w:val="14"/>
                <w:szCs w:val="14"/>
              </w:rPr>
            </w:pPr>
            <w:r>
              <w:rPr>
                <w:rFonts w:ascii="Arial" w:hAnsi="Arial"/>
                <w:b/>
                <w:sz w:val="14"/>
              </w:rPr>
              <w:t>Untergehender Teilfonds</w:t>
            </w:r>
          </w:p>
        </w:tc>
        <w:tc>
          <w:tcPr>
            <w:tcW w:w="1999" w:type="pct"/>
            <w:gridSpan w:val="2"/>
            <w:tcBorders>
              <w:top w:val="single" w:sz="4" w:space="0" w:color="auto"/>
              <w:left w:val="nil"/>
              <w:bottom w:val="single" w:sz="4" w:space="0" w:color="auto"/>
              <w:right w:val="single" w:sz="4" w:space="0" w:color="auto"/>
            </w:tcBorders>
            <w:shd w:val="clear" w:color="auto" w:fill="BFBFBF"/>
            <w:vAlign w:val="center"/>
            <w:hideMark/>
          </w:tcPr>
          <w:p w14:paraId="24FE3706" w14:textId="77777777" w:rsidR="00CC540E" w:rsidRPr="00CA363A" w:rsidRDefault="00CC540E" w:rsidP="00C945F9">
            <w:pPr>
              <w:jc w:val="center"/>
              <w:rPr>
                <w:rFonts w:ascii="Arial" w:hAnsi="Arial" w:cs="Arial"/>
                <w:b/>
                <w:bCs/>
                <w:sz w:val="14"/>
                <w:szCs w:val="14"/>
              </w:rPr>
            </w:pPr>
            <w:r>
              <w:rPr>
                <w:rFonts w:ascii="Arial" w:hAnsi="Arial"/>
                <w:b/>
                <w:sz w:val="14"/>
              </w:rPr>
              <w:t>Aufnehmender Teilfonds</w:t>
            </w:r>
          </w:p>
        </w:tc>
      </w:tr>
      <w:tr w:rsidR="00CC540E" w:rsidRPr="00CA363A" w14:paraId="342FAEC7" w14:textId="77777777" w:rsidTr="00C945F9">
        <w:trPr>
          <w:trHeight w:val="180"/>
          <w:tblHeader/>
        </w:trPr>
        <w:tc>
          <w:tcPr>
            <w:tcW w:w="940" w:type="pct"/>
            <w:vMerge/>
            <w:tcBorders>
              <w:left w:val="single" w:sz="4" w:space="0" w:color="auto"/>
              <w:right w:val="single" w:sz="4" w:space="0" w:color="auto"/>
            </w:tcBorders>
            <w:hideMark/>
          </w:tcPr>
          <w:p w14:paraId="3AA6F8AC" w14:textId="77777777" w:rsidR="00CC540E" w:rsidRPr="00CA363A" w:rsidRDefault="00CC540E" w:rsidP="00C945F9">
            <w:pPr>
              <w:rPr>
                <w:rFonts w:ascii="Arial" w:hAnsi="Arial" w:cs="Arial"/>
                <w:sz w:val="14"/>
                <w:szCs w:val="14"/>
                <w:lang w:val="en-GB" w:eastAsia="en-US"/>
              </w:rPr>
            </w:pPr>
          </w:p>
        </w:tc>
        <w:tc>
          <w:tcPr>
            <w:tcW w:w="2061"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29EBB3F" w14:textId="77777777" w:rsidR="00CC540E" w:rsidRPr="00CA363A" w:rsidRDefault="00CC540E" w:rsidP="00C945F9">
            <w:pPr>
              <w:jc w:val="center"/>
              <w:rPr>
                <w:rFonts w:ascii="Arial" w:hAnsi="Arial" w:cs="Arial"/>
                <w:sz w:val="14"/>
                <w:szCs w:val="14"/>
              </w:rPr>
            </w:pPr>
            <w:r>
              <w:rPr>
                <w:rFonts w:ascii="Arial" w:hAnsi="Arial"/>
                <w:sz w:val="14"/>
              </w:rPr>
              <w:t xml:space="preserve">Allianz Global Investors Fund – </w:t>
            </w:r>
          </w:p>
        </w:tc>
        <w:tc>
          <w:tcPr>
            <w:tcW w:w="1999" w:type="pct"/>
            <w:gridSpan w:val="2"/>
            <w:tcBorders>
              <w:top w:val="single" w:sz="4" w:space="0" w:color="auto"/>
              <w:left w:val="nil"/>
              <w:bottom w:val="single" w:sz="4" w:space="0" w:color="auto"/>
              <w:right w:val="single" w:sz="4" w:space="0" w:color="auto"/>
            </w:tcBorders>
            <w:shd w:val="clear" w:color="auto" w:fill="BFBFBF"/>
            <w:vAlign w:val="center"/>
            <w:hideMark/>
          </w:tcPr>
          <w:p w14:paraId="0E8234C9" w14:textId="77777777" w:rsidR="00CC540E" w:rsidRPr="00CA363A" w:rsidRDefault="00CC540E" w:rsidP="00C945F9">
            <w:pPr>
              <w:jc w:val="center"/>
              <w:rPr>
                <w:rFonts w:ascii="Arial" w:hAnsi="Arial" w:cs="Arial"/>
                <w:sz w:val="14"/>
                <w:szCs w:val="14"/>
              </w:rPr>
            </w:pPr>
            <w:r>
              <w:rPr>
                <w:rFonts w:ascii="Arial" w:hAnsi="Arial"/>
                <w:sz w:val="14"/>
              </w:rPr>
              <w:t xml:space="preserve">Allianz Global Investors Fund – </w:t>
            </w:r>
          </w:p>
        </w:tc>
      </w:tr>
      <w:tr w:rsidR="00CC540E" w:rsidRPr="00CA363A" w14:paraId="3A5EBE60" w14:textId="77777777" w:rsidTr="00C945F9">
        <w:trPr>
          <w:trHeight w:val="195"/>
          <w:tblHeader/>
        </w:trPr>
        <w:tc>
          <w:tcPr>
            <w:tcW w:w="940" w:type="pct"/>
            <w:vMerge/>
            <w:tcBorders>
              <w:left w:val="single" w:sz="4" w:space="0" w:color="auto"/>
              <w:bottom w:val="single" w:sz="4" w:space="0" w:color="auto"/>
              <w:right w:val="single" w:sz="4" w:space="0" w:color="auto"/>
            </w:tcBorders>
            <w:hideMark/>
          </w:tcPr>
          <w:p w14:paraId="2450E522" w14:textId="77777777" w:rsidR="00CC540E" w:rsidRPr="00CA363A" w:rsidRDefault="00CC540E" w:rsidP="00C945F9">
            <w:pPr>
              <w:rPr>
                <w:rFonts w:ascii="Arial" w:hAnsi="Arial" w:cs="Arial"/>
                <w:sz w:val="14"/>
                <w:szCs w:val="14"/>
                <w:lang w:val="en-GB" w:eastAsia="en-US"/>
              </w:rPr>
            </w:pPr>
          </w:p>
        </w:tc>
        <w:tc>
          <w:tcPr>
            <w:tcW w:w="2061"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72FEDA" w14:textId="77777777" w:rsidR="00CC540E" w:rsidRPr="00CA363A" w:rsidRDefault="00CC540E" w:rsidP="00C945F9">
            <w:pPr>
              <w:jc w:val="center"/>
              <w:rPr>
                <w:rFonts w:ascii="Arial" w:hAnsi="Arial" w:cs="Arial"/>
                <w:sz w:val="14"/>
                <w:szCs w:val="14"/>
              </w:rPr>
            </w:pPr>
            <w:r>
              <w:rPr>
                <w:rFonts w:ascii="Arial" w:hAnsi="Arial"/>
                <w:sz w:val="14"/>
              </w:rPr>
              <w:t>Allianz Trend and Brands</w:t>
            </w:r>
          </w:p>
        </w:tc>
        <w:tc>
          <w:tcPr>
            <w:tcW w:w="1999" w:type="pct"/>
            <w:gridSpan w:val="2"/>
            <w:tcBorders>
              <w:top w:val="single" w:sz="4" w:space="0" w:color="auto"/>
              <w:left w:val="nil"/>
              <w:bottom w:val="single" w:sz="4" w:space="0" w:color="auto"/>
              <w:right w:val="single" w:sz="4" w:space="0" w:color="auto"/>
            </w:tcBorders>
            <w:shd w:val="clear" w:color="auto" w:fill="BFBFBF"/>
            <w:vAlign w:val="center"/>
            <w:hideMark/>
          </w:tcPr>
          <w:p w14:paraId="2CA7BF32" w14:textId="77777777" w:rsidR="00CC540E" w:rsidRPr="00CA363A" w:rsidRDefault="00CC540E" w:rsidP="00C945F9">
            <w:pPr>
              <w:jc w:val="center"/>
              <w:rPr>
                <w:rFonts w:ascii="Arial" w:hAnsi="Arial" w:cs="Arial"/>
                <w:sz w:val="14"/>
                <w:szCs w:val="14"/>
              </w:rPr>
            </w:pPr>
            <w:r>
              <w:rPr>
                <w:rFonts w:ascii="Arial" w:hAnsi="Arial"/>
                <w:sz w:val="14"/>
              </w:rPr>
              <w:t xml:space="preserve">Allianz Dynamic Multi Asset </w:t>
            </w:r>
            <w:proofErr w:type="spellStart"/>
            <w:r>
              <w:rPr>
                <w:rFonts w:ascii="Arial" w:hAnsi="Arial"/>
                <w:sz w:val="14"/>
              </w:rPr>
              <w:t>Strategy</w:t>
            </w:r>
            <w:proofErr w:type="spellEnd"/>
            <w:r>
              <w:rPr>
                <w:rFonts w:ascii="Arial" w:hAnsi="Arial"/>
                <w:sz w:val="14"/>
              </w:rPr>
              <w:t xml:space="preserve"> SRI 30</w:t>
            </w:r>
          </w:p>
        </w:tc>
      </w:tr>
      <w:tr w:rsidR="00CC540E" w:rsidRPr="00CA363A" w14:paraId="6D2EE24B" w14:textId="77777777" w:rsidTr="00C945F9">
        <w:trPr>
          <w:trHeight w:val="300"/>
        </w:trPr>
        <w:tc>
          <w:tcPr>
            <w:tcW w:w="940"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5FBA4137" w14:textId="77777777" w:rsidR="00CC540E" w:rsidRPr="00CA363A" w:rsidRDefault="00CC540E" w:rsidP="00C945F9">
            <w:pPr>
              <w:rPr>
                <w:rFonts w:ascii="Arial" w:hAnsi="Arial" w:cs="Arial"/>
                <w:sz w:val="14"/>
                <w:szCs w:val="14"/>
              </w:rPr>
            </w:pPr>
            <w:r>
              <w:rPr>
                <w:rFonts w:ascii="Arial" w:hAnsi="Arial"/>
                <w:sz w:val="14"/>
              </w:rPr>
              <w:t>Anteilklassen</w:t>
            </w:r>
          </w:p>
        </w:tc>
        <w:tc>
          <w:tcPr>
            <w:tcW w:w="815" w:type="pct"/>
            <w:tcBorders>
              <w:top w:val="single" w:sz="4" w:space="0" w:color="auto"/>
              <w:left w:val="nil"/>
              <w:bottom w:val="single" w:sz="4" w:space="0" w:color="auto"/>
              <w:right w:val="single" w:sz="4" w:space="0" w:color="auto"/>
            </w:tcBorders>
            <w:shd w:val="clear" w:color="auto" w:fill="BFBFBF"/>
            <w:vAlign w:val="center"/>
            <w:hideMark/>
          </w:tcPr>
          <w:p w14:paraId="0764BABE" w14:textId="77777777" w:rsidR="00CC540E" w:rsidRPr="00CA363A" w:rsidRDefault="00CC540E" w:rsidP="00C945F9">
            <w:pPr>
              <w:rPr>
                <w:rFonts w:ascii="Arial" w:hAnsi="Arial" w:cs="Arial"/>
                <w:sz w:val="14"/>
                <w:szCs w:val="14"/>
              </w:rPr>
            </w:pPr>
            <w:r>
              <w:rPr>
                <w:rFonts w:ascii="Arial" w:hAnsi="Arial"/>
                <w:sz w:val="14"/>
              </w:rPr>
              <w:t>Anteilklasse</w:t>
            </w:r>
          </w:p>
        </w:tc>
        <w:tc>
          <w:tcPr>
            <w:tcW w:w="1246" w:type="pct"/>
            <w:tcBorders>
              <w:top w:val="nil"/>
              <w:left w:val="nil"/>
              <w:bottom w:val="single" w:sz="4" w:space="0" w:color="auto"/>
              <w:right w:val="single" w:sz="4" w:space="0" w:color="auto"/>
            </w:tcBorders>
            <w:shd w:val="clear" w:color="auto" w:fill="BFBFBF"/>
            <w:vAlign w:val="center"/>
            <w:hideMark/>
          </w:tcPr>
          <w:p w14:paraId="3E5CC3BF" w14:textId="77777777" w:rsidR="00CC540E" w:rsidRPr="00CA363A" w:rsidRDefault="00CC540E" w:rsidP="00C945F9">
            <w:pPr>
              <w:rPr>
                <w:rFonts w:ascii="Arial" w:hAnsi="Arial" w:cs="Arial"/>
                <w:sz w:val="14"/>
                <w:szCs w:val="14"/>
              </w:rPr>
            </w:pPr>
            <w:r>
              <w:rPr>
                <w:rFonts w:ascii="Arial" w:hAnsi="Arial"/>
                <w:sz w:val="14"/>
              </w:rPr>
              <w:t>ISIN / WKN</w:t>
            </w:r>
          </w:p>
        </w:tc>
        <w:tc>
          <w:tcPr>
            <w:tcW w:w="745" w:type="pct"/>
            <w:tcBorders>
              <w:top w:val="nil"/>
              <w:left w:val="nil"/>
              <w:bottom w:val="single" w:sz="4" w:space="0" w:color="auto"/>
              <w:right w:val="single" w:sz="4" w:space="0" w:color="auto"/>
            </w:tcBorders>
            <w:shd w:val="clear" w:color="auto" w:fill="BFBFBF"/>
            <w:vAlign w:val="center"/>
            <w:hideMark/>
          </w:tcPr>
          <w:p w14:paraId="07CE3D1F" w14:textId="77777777" w:rsidR="00CC540E" w:rsidRPr="00CA363A" w:rsidRDefault="00CC540E" w:rsidP="00C945F9">
            <w:pPr>
              <w:rPr>
                <w:rFonts w:ascii="Arial" w:hAnsi="Arial" w:cs="Arial"/>
                <w:sz w:val="14"/>
                <w:szCs w:val="14"/>
              </w:rPr>
            </w:pPr>
            <w:r>
              <w:rPr>
                <w:rFonts w:ascii="Arial" w:hAnsi="Arial"/>
                <w:sz w:val="14"/>
              </w:rPr>
              <w:t>Anteilklasse</w:t>
            </w:r>
          </w:p>
        </w:tc>
        <w:tc>
          <w:tcPr>
            <w:tcW w:w="1254" w:type="pct"/>
            <w:tcBorders>
              <w:top w:val="nil"/>
              <w:left w:val="nil"/>
              <w:bottom w:val="single" w:sz="4" w:space="0" w:color="auto"/>
              <w:right w:val="single" w:sz="4" w:space="0" w:color="auto"/>
            </w:tcBorders>
            <w:shd w:val="clear" w:color="auto" w:fill="BFBFBF"/>
            <w:vAlign w:val="center"/>
            <w:hideMark/>
          </w:tcPr>
          <w:p w14:paraId="0E0B93B9" w14:textId="77777777" w:rsidR="00CC540E" w:rsidRPr="00CA363A" w:rsidRDefault="00CC540E" w:rsidP="00C945F9">
            <w:pPr>
              <w:rPr>
                <w:rFonts w:ascii="Arial" w:hAnsi="Arial" w:cs="Arial"/>
                <w:sz w:val="14"/>
                <w:szCs w:val="14"/>
              </w:rPr>
            </w:pPr>
            <w:r>
              <w:rPr>
                <w:rFonts w:ascii="Arial" w:hAnsi="Arial"/>
                <w:sz w:val="14"/>
              </w:rPr>
              <w:t>ISIN / WKN</w:t>
            </w:r>
          </w:p>
        </w:tc>
      </w:tr>
      <w:tr w:rsidR="00CC540E" w:rsidRPr="00CA363A" w14:paraId="16BE19D4" w14:textId="77777777" w:rsidTr="00C945F9">
        <w:trPr>
          <w:trHeight w:val="192"/>
        </w:trPr>
        <w:tc>
          <w:tcPr>
            <w:tcW w:w="940" w:type="pct"/>
            <w:vMerge/>
            <w:tcBorders>
              <w:left w:val="single" w:sz="4" w:space="0" w:color="auto"/>
              <w:bottom w:val="single" w:sz="4" w:space="0" w:color="auto"/>
              <w:right w:val="single" w:sz="4" w:space="0" w:color="auto"/>
            </w:tcBorders>
          </w:tcPr>
          <w:p w14:paraId="3AAC3907" w14:textId="77777777" w:rsidR="00CC540E" w:rsidRPr="00CA363A" w:rsidRDefault="00CC540E" w:rsidP="00C945F9">
            <w:pPr>
              <w:rPr>
                <w:rFonts w:ascii="Arial" w:hAnsi="Arial" w:cs="Arial"/>
                <w:sz w:val="14"/>
                <w:szCs w:val="14"/>
                <w:lang w:val="en-GB" w:eastAsia="en-US"/>
              </w:rPr>
            </w:pPr>
          </w:p>
        </w:tc>
        <w:tc>
          <w:tcPr>
            <w:tcW w:w="81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C149D07" w14:textId="77777777" w:rsidR="00CC540E" w:rsidRPr="00CA363A" w:rsidRDefault="00CC540E" w:rsidP="00C945F9">
            <w:pPr>
              <w:rPr>
                <w:rFonts w:ascii="Arial" w:hAnsi="Arial" w:cs="Arial"/>
                <w:sz w:val="14"/>
                <w:szCs w:val="14"/>
              </w:rPr>
            </w:pPr>
            <w:r>
              <w:rPr>
                <w:rFonts w:ascii="Arial" w:hAnsi="Arial"/>
                <w:sz w:val="14"/>
              </w:rPr>
              <w:t>WT6 (EUR)</w:t>
            </w:r>
          </w:p>
        </w:tc>
        <w:tc>
          <w:tcPr>
            <w:tcW w:w="1246" w:type="pct"/>
            <w:tcBorders>
              <w:top w:val="nil"/>
              <w:left w:val="nil"/>
              <w:bottom w:val="single" w:sz="4" w:space="0" w:color="auto"/>
              <w:right w:val="single" w:sz="4" w:space="0" w:color="auto"/>
            </w:tcBorders>
            <w:vAlign w:val="bottom"/>
          </w:tcPr>
          <w:p w14:paraId="3DD90D6E" w14:textId="77777777" w:rsidR="00CC540E" w:rsidRPr="00CA363A" w:rsidRDefault="00CC540E" w:rsidP="00C945F9">
            <w:pPr>
              <w:rPr>
                <w:rFonts w:ascii="Arial" w:hAnsi="Arial" w:cs="Arial"/>
                <w:sz w:val="14"/>
                <w:szCs w:val="14"/>
              </w:rPr>
            </w:pPr>
            <w:r>
              <w:rPr>
                <w:rFonts w:ascii="Arial" w:hAnsi="Arial"/>
                <w:sz w:val="14"/>
              </w:rPr>
              <w:t>LU2211813287 / A2QAFR</w:t>
            </w:r>
          </w:p>
        </w:tc>
        <w:tc>
          <w:tcPr>
            <w:tcW w:w="745" w:type="pct"/>
            <w:tcBorders>
              <w:top w:val="nil"/>
              <w:left w:val="nil"/>
              <w:bottom w:val="single" w:sz="4" w:space="0" w:color="auto"/>
              <w:right w:val="single" w:sz="4" w:space="0" w:color="auto"/>
            </w:tcBorders>
            <w:vAlign w:val="bottom"/>
          </w:tcPr>
          <w:p w14:paraId="4AE5006A" w14:textId="77777777" w:rsidR="00CC540E" w:rsidRPr="00CA363A" w:rsidRDefault="00CC540E" w:rsidP="00C945F9">
            <w:pPr>
              <w:rPr>
                <w:rFonts w:ascii="Arial" w:hAnsi="Arial" w:cs="Arial"/>
                <w:sz w:val="14"/>
                <w:szCs w:val="14"/>
              </w:rPr>
            </w:pPr>
            <w:r>
              <w:rPr>
                <w:rFonts w:ascii="Arial" w:hAnsi="Arial"/>
                <w:sz w:val="14"/>
              </w:rPr>
              <w:t>WT (EUR)</w:t>
            </w:r>
          </w:p>
        </w:tc>
        <w:tc>
          <w:tcPr>
            <w:tcW w:w="1254" w:type="pct"/>
            <w:tcBorders>
              <w:top w:val="nil"/>
              <w:left w:val="nil"/>
              <w:bottom w:val="single" w:sz="4" w:space="0" w:color="auto"/>
              <w:right w:val="single" w:sz="4" w:space="0" w:color="auto"/>
            </w:tcBorders>
            <w:vAlign w:val="bottom"/>
          </w:tcPr>
          <w:p w14:paraId="4E4DB8F9" w14:textId="77777777" w:rsidR="00CC540E" w:rsidRPr="00CA363A" w:rsidRDefault="00CC540E" w:rsidP="00C945F9">
            <w:pPr>
              <w:rPr>
                <w:rFonts w:ascii="Arial" w:hAnsi="Arial" w:cs="Arial"/>
                <w:sz w:val="14"/>
                <w:szCs w:val="14"/>
              </w:rPr>
            </w:pPr>
            <w:r>
              <w:rPr>
                <w:rFonts w:ascii="Arial" w:hAnsi="Arial"/>
                <w:sz w:val="14"/>
              </w:rPr>
              <w:t>LU2799046219 / A40A2P</w:t>
            </w:r>
          </w:p>
        </w:tc>
      </w:tr>
      <w:tr w:rsidR="00CC540E" w:rsidRPr="00CA363A" w14:paraId="39ED06C1" w14:textId="77777777" w:rsidTr="00C945F9">
        <w:trPr>
          <w:trHeight w:val="192"/>
        </w:trPr>
        <w:tc>
          <w:tcPr>
            <w:tcW w:w="940" w:type="pct"/>
            <w:tcBorders>
              <w:top w:val="single" w:sz="4" w:space="0" w:color="auto"/>
              <w:left w:val="single" w:sz="4" w:space="0" w:color="auto"/>
              <w:bottom w:val="single" w:sz="4" w:space="0" w:color="auto"/>
              <w:right w:val="single" w:sz="4" w:space="0" w:color="auto"/>
            </w:tcBorders>
            <w:shd w:val="clear" w:color="auto" w:fill="BFBFBF"/>
            <w:hideMark/>
          </w:tcPr>
          <w:p w14:paraId="15F186AD" w14:textId="77777777" w:rsidR="00CC540E" w:rsidRPr="00CA363A" w:rsidRDefault="00CC540E" w:rsidP="00C945F9">
            <w:pPr>
              <w:rPr>
                <w:rFonts w:ascii="Arial" w:hAnsi="Arial" w:cs="Arial"/>
                <w:sz w:val="14"/>
                <w:szCs w:val="14"/>
              </w:rPr>
            </w:pPr>
            <w:r>
              <w:rPr>
                <w:rFonts w:ascii="Arial" w:hAnsi="Arial"/>
                <w:sz w:val="14"/>
              </w:rPr>
              <w:t>Verschmelzungsdatum</w:t>
            </w:r>
          </w:p>
        </w:tc>
        <w:tc>
          <w:tcPr>
            <w:tcW w:w="4060" w:type="pct"/>
            <w:gridSpan w:val="4"/>
            <w:tcBorders>
              <w:top w:val="single" w:sz="4" w:space="0" w:color="auto"/>
              <w:left w:val="nil"/>
              <w:bottom w:val="single" w:sz="4" w:space="0" w:color="auto"/>
              <w:right w:val="single" w:sz="4" w:space="0" w:color="auto"/>
            </w:tcBorders>
            <w:vAlign w:val="center"/>
            <w:hideMark/>
          </w:tcPr>
          <w:p w14:paraId="6DC85836" w14:textId="77777777" w:rsidR="00CC540E" w:rsidRPr="00CA363A" w:rsidRDefault="00CC540E" w:rsidP="00C945F9">
            <w:pPr>
              <w:jc w:val="center"/>
              <w:rPr>
                <w:rFonts w:ascii="Arial" w:hAnsi="Arial" w:cs="Arial"/>
                <w:b/>
                <w:bCs/>
                <w:sz w:val="14"/>
                <w:szCs w:val="14"/>
              </w:rPr>
            </w:pPr>
            <w:r>
              <w:rPr>
                <w:rFonts w:ascii="Arial" w:hAnsi="Arial"/>
                <w:b/>
                <w:sz w:val="14"/>
              </w:rPr>
              <w:t>3. Februar 2026</w:t>
            </w:r>
          </w:p>
        </w:tc>
      </w:tr>
    </w:tbl>
    <w:p w14:paraId="5528ECC2" w14:textId="77777777" w:rsidR="00CC540E" w:rsidRDefault="00CC540E" w:rsidP="00CC540E">
      <w:pPr>
        <w:jc w:val="both"/>
        <w:rPr>
          <w:rFonts w:ascii="Arial" w:eastAsia="PMingLiU" w:hAnsi="Arial" w:cs="Arial"/>
          <w:sz w:val="20"/>
          <w:szCs w:val="20"/>
          <w:lang w:val="en-US" w:eastAsia="zh-TW"/>
        </w:rPr>
      </w:pPr>
    </w:p>
    <w:p w14:paraId="1E0FB5BB" w14:textId="77777777" w:rsidR="00CC540E" w:rsidRDefault="00CC540E" w:rsidP="00CC540E">
      <w:pPr>
        <w:jc w:val="both"/>
        <w:rPr>
          <w:rFonts w:ascii="Arial" w:hAnsi="Arial" w:cs="Arial"/>
          <w:sz w:val="20"/>
          <w:szCs w:val="20"/>
        </w:rPr>
      </w:pPr>
      <w:r>
        <w:rPr>
          <w:rFonts w:ascii="Arial" w:hAnsi="Arial"/>
          <w:sz w:val="20"/>
        </w:rPr>
        <w:t>Die Anleger des aufnehmenden Teilfonds und des untergehenden Teilfonds profitieren in Folge der Verschmelzung von den zusätzlichen Vermögenswerten. Die Zusammenlegung der Vermögenswerte in einem Fonds spart Kosten und reduziert die Komplexität über die gesamte Wertschöpfungskette hinweg. Durch die geplante Verschmelzung wird die Produktpalette gestrafft und die Effizienz erhöht, da Größenvorteile genutzt werden können.</w:t>
      </w:r>
    </w:p>
    <w:p w14:paraId="7A44AB33" w14:textId="144C8558" w:rsidR="00CD662E" w:rsidRPr="00FC4416" w:rsidRDefault="00CD662E" w:rsidP="00B94EB7">
      <w:pPr>
        <w:jc w:val="both"/>
        <w:rPr>
          <w:rFonts w:ascii="Arial" w:eastAsiaTheme="minorHAnsi" w:hAnsi="Arial" w:cs="Arial"/>
          <w:b/>
          <w:bCs/>
          <w:sz w:val="20"/>
          <w:szCs w:val="20"/>
          <w:lang w:eastAsia="en-US"/>
        </w:rPr>
      </w:pPr>
    </w:p>
    <w:p w14:paraId="5D0580F7" w14:textId="5545D130" w:rsidR="00B94EB7" w:rsidRPr="00D854D0" w:rsidRDefault="00B94EB7" w:rsidP="00B94EB7">
      <w:pPr>
        <w:jc w:val="both"/>
        <w:rPr>
          <w:rFonts w:ascii="Arial" w:eastAsiaTheme="minorHAnsi" w:hAnsi="Arial" w:cs="Arial"/>
          <w:b/>
          <w:bCs/>
          <w:sz w:val="20"/>
          <w:szCs w:val="20"/>
        </w:rPr>
      </w:pPr>
      <w:r>
        <w:rPr>
          <w:rFonts w:ascii="Arial" w:hAnsi="Arial"/>
          <w:b/>
          <w:sz w:val="20"/>
        </w:rPr>
        <w:t>Auswirkungen auf den aufnehmenden Teilfonds</w:t>
      </w:r>
    </w:p>
    <w:p w14:paraId="7AD26A5B" w14:textId="512E6EDE" w:rsidR="00B94EB7" w:rsidRPr="00FC4416" w:rsidRDefault="00B94EB7" w:rsidP="00B94EB7">
      <w:pPr>
        <w:jc w:val="both"/>
        <w:rPr>
          <w:rFonts w:ascii="Arial" w:eastAsiaTheme="minorHAnsi" w:hAnsi="Arial" w:cs="Arial"/>
          <w:sz w:val="20"/>
          <w:szCs w:val="20"/>
          <w:lang w:eastAsia="en-US"/>
        </w:rPr>
      </w:pPr>
    </w:p>
    <w:p w14:paraId="285D0C05" w14:textId="4F77625E" w:rsidR="000D5C2C" w:rsidRDefault="0055736D" w:rsidP="0055736D">
      <w:pPr>
        <w:jc w:val="both"/>
        <w:rPr>
          <w:rFonts w:ascii="Arial" w:eastAsiaTheme="minorHAnsi" w:hAnsi="Arial" w:cs="Arial"/>
          <w:sz w:val="20"/>
          <w:szCs w:val="20"/>
        </w:rPr>
      </w:pPr>
      <w:r>
        <w:rPr>
          <w:rFonts w:ascii="Arial" w:hAnsi="Arial"/>
          <w:sz w:val="20"/>
        </w:rPr>
        <w:lastRenderedPageBreak/>
        <w:t>Die Verschmelzung verursacht keine wesentlichen wirtschaftlichen Veränderungen für Anleger des aufnehmenden Teilfonds. Das Risikoprofil und die Anlageziele bleiben unverändert. Dem aufnehmenden Teilfonds werden in Verbindung mit der Verschmelzung keine zusätzlichen Kosten in Rechnung gestellt.</w:t>
      </w:r>
    </w:p>
    <w:p w14:paraId="3F7A5438" w14:textId="77777777" w:rsidR="0055736D" w:rsidRPr="00FC4416" w:rsidRDefault="0055736D" w:rsidP="0055736D">
      <w:pPr>
        <w:jc w:val="both"/>
        <w:rPr>
          <w:rFonts w:ascii="Arial" w:eastAsiaTheme="minorHAnsi" w:hAnsi="Arial" w:cs="Arial"/>
          <w:sz w:val="20"/>
          <w:szCs w:val="20"/>
          <w:lang w:eastAsia="en-US"/>
        </w:rPr>
      </w:pPr>
    </w:p>
    <w:p w14:paraId="320DA95B" w14:textId="666DEB7C" w:rsidR="00B94EB7" w:rsidRDefault="00B94EB7" w:rsidP="00B94EB7">
      <w:pPr>
        <w:jc w:val="both"/>
        <w:rPr>
          <w:rFonts w:ascii="Arial" w:eastAsiaTheme="minorHAnsi" w:hAnsi="Arial" w:cs="Arial"/>
          <w:sz w:val="20"/>
          <w:szCs w:val="20"/>
        </w:rPr>
      </w:pPr>
      <w:r>
        <w:rPr>
          <w:rFonts w:ascii="Arial" w:hAnsi="Arial"/>
          <w:sz w:val="20"/>
        </w:rPr>
        <w:t xml:space="preserve">Eine vollständige Liste der aktuell für den aufnehmenden Teilfonds verfügbaren Anteilklassen finden Sie unter https://regulatory.allianzgi.com. </w:t>
      </w:r>
    </w:p>
    <w:p w14:paraId="407A0C2C" w14:textId="0AA1D3F8" w:rsidR="00B94EB7" w:rsidRPr="00FC4416" w:rsidRDefault="00B94EB7" w:rsidP="00B94EB7">
      <w:pPr>
        <w:jc w:val="both"/>
        <w:rPr>
          <w:rFonts w:ascii="Arial" w:eastAsiaTheme="minorHAnsi" w:hAnsi="Arial" w:cs="Arial"/>
          <w:sz w:val="20"/>
          <w:szCs w:val="20"/>
          <w:lang w:eastAsia="en-US"/>
        </w:rPr>
      </w:pPr>
    </w:p>
    <w:p w14:paraId="25876DD0" w14:textId="4BE375F7" w:rsidR="00B94EB7" w:rsidRPr="00D854D0" w:rsidRDefault="00B94EB7" w:rsidP="00B94EB7">
      <w:pPr>
        <w:jc w:val="both"/>
        <w:rPr>
          <w:rFonts w:ascii="Arial" w:eastAsiaTheme="minorHAnsi" w:hAnsi="Arial" w:cs="Arial"/>
          <w:b/>
          <w:bCs/>
          <w:sz w:val="20"/>
          <w:szCs w:val="20"/>
        </w:rPr>
      </w:pPr>
      <w:r>
        <w:rPr>
          <w:rFonts w:ascii="Arial" w:hAnsi="Arial"/>
          <w:b/>
          <w:sz w:val="20"/>
        </w:rPr>
        <w:t>Verschmelzungsverfahren</w:t>
      </w:r>
    </w:p>
    <w:p w14:paraId="5B7839B2" w14:textId="440DB749" w:rsidR="00B94EB7" w:rsidRPr="00FC4416" w:rsidRDefault="00B94EB7" w:rsidP="00B94EB7">
      <w:pPr>
        <w:jc w:val="both"/>
        <w:rPr>
          <w:rFonts w:ascii="Arial" w:eastAsiaTheme="minorHAnsi" w:hAnsi="Arial" w:cs="Arial"/>
          <w:sz w:val="20"/>
          <w:szCs w:val="20"/>
          <w:lang w:eastAsia="en-US"/>
        </w:rPr>
      </w:pPr>
    </w:p>
    <w:p w14:paraId="10765002" w14:textId="3EB1D5AE" w:rsidR="00B94EB7" w:rsidRDefault="00B94EB7" w:rsidP="00B94EB7">
      <w:pPr>
        <w:jc w:val="both"/>
        <w:rPr>
          <w:rFonts w:ascii="Arial" w:eastAsiaTheme="minorHAnsi" w:hAnsi="Arial" w:cs="Arial"/>
          <w:sz w:val="20"/>
          <w:szCs w:val="20"/>
        </w:rPr>
      </w:pPr>
      <w:r>
        <w:rPr>
          <w:rFonts w:ascii="Arial" w:hAnsi="Arial"/>
          <w:sz w:val="20"/>
        </w:rPr>
        <w:t>Am Verschmelzungsdatum werden Anlegern im untergehenden Teilfonds Anteile des aufnehmenden Teilfonds gutgeschrieben. Dafür erhält der aufnehmende Teilfonds die Vermögenswerte und Verbindlichkeiten des untergehenden Teilfonds. Daraus ergibt sich keine Änderung der Anlagestruktur des aufnehmenden Teilfonds. Die gesamte Verschmelzung wird von einem Abschlussprüfer geprüft. Wir übermitteln Ihnen auf Anfrage kostenlos die vom Abschlussprüfer genehmigten Verschmelzungsberichte. Sollten Sie nicht mit der geplanten Verschmelzung der Teilfonds einverstanden sein, können Sie Ihre Anteile am aufnehmenden Teilfonds auf die übliche Art und Weise kostenlos zurückgeben.</w:t>
      </w:r>
    </w:p>
    <w:p w14:paraId="6AABE3B7" w14:textId="57697CB4" w:rsidR="00B94EB7" w:rsidRPr="00FC4416" w:rsidRDefault="00B94EB7" w:rsidP="00B94EB7">
      <w:pPr>
        <w:jc w:val="both"/>
        <w:rPr>
          <w:rFonts w:ascii="Arial" w:eastAsiaTheme="minorHAnsi" w:hAnsi="Arial" w:cs="Arial"/>
          <w:sz w:val="20"/>
          <w:szCs w:val="20"/>
          <w:lang w:eastAsia="en-US"/>
        </w:rPr>
      </w:pPr>
    </w:p>
    <w:p w14:paraId="5250AAAC" w14:textId="1733E242" w:rsidR="00B94EB7" w:rsidRPr="00D854D0" w:rsidRDefault="00B94EB7" w:rsidP="00B94EB7">
      <w:pPr>
        <w:jc w:val="both"/>
        <w:rPr>
          <w:rFonts w:ascii="Arial" w:eastAsiaTheme="minorHAnsi" w:hAnsi="Arial" w:cs="Arial"/>
          <w:b/>
          <w:bCs/>
          <w:sz w:val="20"/>
          <w:szCs w:val="20"/>
        </w:rPr>
      </w:pPr>
      <w:r>
        <w:rPr>
          <w:rFonts w:ascii="Arial" w:hAnsi="Arial"/>
          <w:b/>
          <w:sz w:val="20"/>
        </w:rPr>
        <w:t>Gesetzliche Verkaufsunterlagen</w:t>
      </w:r>
    </w:p>
    <w:p w14:paraId="3513C45E" w14:textId="66F9451B" w:rsidR="00B94EB7" w:rsidRPr="00FC4416" w:rsidRDefault="00B94EB7" w:rsidP="00B94EB7">
      <w:pPr>
        <w:jc w:val="both"/>
        <w:rPr>
          <w:rFonts w:ascii="Arial" w:eastAsiaTheme="minorHAnsi" w:hAnsi="Arial" w:cs="Arial"/>
          <w:sz w:val="20"/>
          <w:szCs w:val="20"/>
          <w:lang w:eastAsia="en-US"/>
        </w:rPr>
      </w:pPr>
    </w:p>
    <w:p w14:paraId="036E8F76" w14:textId="0B8194A0" w:rsidR="00B94EB7" w:rsidRDefault="00B94EB7" w:rsidP="00B94EB7">
      <w:pPr>
        <w:jc w:val="both"/>
        <w:rPr>
          <w:rFonts w:ascii="Arial" w:eastAsiaTheme="minorHAnsi" w:hAnsi="Arial" w:cs="Arial"/>
          <w:sz w:val="20"/>
          <w:szCs w:val="20"/>
        </w:rPr>
      </w:pPr>
      <w:r>
        <w:rPr>
          <w:rFonts w:ascii="Arial" w:hAnsi="Arial"/>
          <w:sz w:val="20"/>
        </w:rPr>
        <w:t>Exemplare der Basisinformationsblätter und des Verkaufsprospekts sind bei Ihrem Berater erhältlich. Darüber hinaus sind sie auf Anfrage während der üblichen Geschäftszeiten kostenlos am Sitz der Gesellschaft sowie bei der Verwaltungsgesellschaft und den Informationsstellen in allen Ländern, in denen die Teilfonds für den öffentlichen Vertrieb zugelassen sind, zugänglich bzw. verfügbar. Diese Dokumente sind auch im Internet unter https://regulatory.allianzgi.com erhältlich. Für in der Bundesrepublik Deutschland ansässige Anleger wurde die Verschmelzung zudem in der Börsen-Zeitung veröffentlicht.</w:t>
      </w:r>
    </w:p>
    <w:p w14:paraId="3284AD7E" w14:textId="77777777" w:rsidR="0055736D" w:rsidRPr="00FC4416" w:rsidRDefault="0055736D" w:rsidP="00B94EB7">
      <w:pPr>
        <w:jc w:val="both"/>
        <w:rPr>
          <w:rFonts w:ascii="Arial" w:eastAsiaTheme="minorHAnsi" w:hAnsi="Arial" w:cs="Arial"/>
          <w:sz w:val="20"/>
          <w:szCs w:val="20"/>
          <w:lang w:eastAsia="en-US"/>
        </w:rPr>
      </w:pPr>
    </w:p>
    <w:p w14:paraId="495420F2" w14:textId="1EA4C776" w:rsidR="00610050" w:rsidRDefault="00610050" w:rsidP="00B94EB7">
      <w:pPr>
        <w:jc w:val="both"/>
        <w:rPr>
          <w:rFonts w:ascii="Arial" w:eastAsiaTheme="minorHAnsi" w:hAnsi="Arial" w:cs="Arial"/>
          <w:sz w:val="20"/>
          <w:szCs w:val="20"/>
        </w:rPr>
      </w:pPr>
      <w:r>
        <w:rPr>
          <w:rFonts w:ascii="Arial" w:hAnsi="Arial"/>
          <w:sz w:val="20"/>
        </w:rPr>
        <w:t>Weitere Informationen sind auf Anfrage erhältlich.</w:t>
      </w:r>
    </w:p>
    <w:p w14:paraId="699545D4" w14:textId="77777777" w:rsidR="0055736D" w:rsidRPr="00FC4416" w:rsidRDefault="0055736D" w:rsidP="00B94EB7">
      <w:pPr>
        <w:jc w:val="both"/>
        <w:rPr>
          <w:rFonts w:ascii="Arial" w:eastAsiaTheme="minorHAnsi" w:hAnsi="Arial" w:cs="Arial"/>
          <w:sz w:val="20"/>
          <w:szCs w:val="20"/>
          <w:lang w:eastAsia="en-US"/>
        </w:rPr>
      </w:pPr>
    </w:p>
    <w:p w14:paraId="248DB05F" w14:textId="7D706736" w:rsidR="0010364B" w:rsidRDefault="0010364B" w:rsidP="00B94EB7">
      <w:pPr>
        <w:jc w:val="both"/>
        <w:rPr>
          <w:rFonts w:ascii="Arial" w:eastAsiaTheme="minorHAnsi" w:hAnsi="Arial" w:cs="Arial"/>
          <w:sz w:val="20"/>
          <w:szCs w:val="20"/>
        </w:rPr>
      </w:pPr>
      <w:r>
        <w:rPr>
          <w:rFonts w:ascii="Arial" w:hAnsi="Arial"/>
          <w:sz w:val="20"/>
        </w:rPr>
        <w:t>In diesem Schreiben werden die Auswirkungen der geplanten Verschmelzung beschrieben. Bitte wenden Sie sich an Ihren Finanzberater, wenn Sie Fragen zum Inhalt dieses Schreibens haben. Die Verschmelzung kann steuerliche Auswirkungen für Sie haben. Anteilinhaber sollten sich für spezifische steuerliche Beratung in Bezug auf die Verschmelzung an ihren Steuerberater wenden.</w:t>
      </w:r>
    </w:p>
    <w:p w14:paraId="439FE324" w14:textId="1581B5DA" w:rsidR="0010364B" w:rsidRPr="00FC4416" w:rsidRDefault="0010364B" w:rsidP="4412FD8B">
      <w:pPr>
        <w:jc w:val="both"/>
        <w:rPr>
          <w:rFonts w:ascii="Arial" w:eastAsiaTheme="minorEastAsia" w:hAnsi="Arial" w:cs="Arial"/>
          <w:sz w:val="20"/>
          <w:szCs w:val="20"/>
          <w:lang w:eastAsia="en-US"/>
        </w:rPr>
      </w:pPr>
    </w:p>
    <w:p w14:paraId="7EB6F1CC" w14:textId="0C340B3D" w:rsidR="00B94EB7" w:rsidRDefault="00B94EB7" w:rsidP="00B94EB7">
      <w:pPr>
        <w:jc w:val="both"/>
        <w:rPr>
          <w:rFonts w:ascii="Arial" w:hAnsi="Arial"/>
          <w:sz w:val="20"/>
        </w:rPr>
      </w:pPr>
      <w:r>
        <w:rPr>
          <w:rFonts w:ascii="Arial" w:hAnsi="Arial"/>
          <w:sz w:val="20"/>
        </w:rPr>
        <w:t xml:space="preserve">Bitte beachten Sie, dass das oben genannte Verschmelzungsdatum anhand der aktuell für die Teilfonds geltenden Feiertage festgelegt wird. Es kann vorkommen, dass an bestimmten Märkten ungeplante/Ad-hoc-Feiertage angekündigt werden, was die Berechnung des Nettoinventarwerts des </w:t>
      </w:r>
      <w:proofErr w:type="gramStart"/>
      <w:r>
        <w:rPr>
          <w:rFonts w:ascii="Arial" w:hAnsi="Arial"/>
          <w:sz w:val="20"/>
        </w:rPr>
        <w:t>untergehenden</w:t>
      </w:r>
      <w:proofErr w:type="gramEnd"/>
      <w:r>
        <w:rPr>
          <w:rFonts w:ascii="Arial" w:hAnsi="Arial"/>
          <w:sz w:val="20"/>
        </w:rPr>
        <w:t xml:space="preserve"> und/oder aufnehmenden Teilfonds verhindern und dazu führen würde, dass das Verschmelzungsdatum auf den nächsten Bewertungstag verschoben werden muss. </w:t>
      </w:r>
    </w:p>
    <w:p w14:paraId="1EAC2DAF" w14:textId="77777777" w:rsidR="00A53663" w:rsidRDefault="00A53663" w:rsidP="00B94EB7">
      <w:pPr>
        <w:jc w:val="both"/>
        <w:rPr>
          <w:rFonts w:ascii="Arial" w:hAnsi="Arial"/>
          <w:sz w:val="20"/>
        </w:rPr>
      </w:pPr>
    </w:p>
    <w:p w14:paraId="1F7E8902" w14:textId="77777777" w:rsidR="00A53663" w:rsidRPr="00A53663" w:rsidRDefault="00A53663" w:rsidP="00A53663">
      <w:pPr>
        <w:jc w:val="both"/>
        <w:rPr>
          <w:rFonts w:ascii="Arial" w:eastAsiaTheme="minorEastAsia" w:hAnsi="Arial" w:cs="Arial"/>
          <w:sz w:val="20"/>
          <w:szCs w:val="20"/>
        </w:rPr>
      </w:pPr>
      <w:r w:rsidRPr="00A53663">
        <w:rPr>
          <w:rFonts w:ascii="Arial" w:eastAsiaTheme="minorEastAsia" w:hAnsi="Arial" w:cs="Arial"/>
          <w:sz w:val="20"/>
          <w:szCs w:val="20"/>
        </w:rPr>
        <w:t xml:space="preserve">Vertreterin und Zahlstelle in der Schweiz: BNP PARIBAS, Paris, </w:t>
      </w:r>
      <w:proofErr w:type="spellStart"/>
      <w:r w:rsidRPr="00A53663">
        <w:rPr>
          <w:rFonts w:ascii="Arial" w:eastAsiaTheme="minorEastAsia" w:hAnsi="Arial" w:cs="Arial"/>
          <w:sz w:val="20"/>
          <w:szCs w:val="20"/>
        </w:rPr>
        <w:t>succursale</w:t>
      </w:r>
      <w:proofErr w:type="spellEnd"/>
      <w:r w:rsidRPr="00A53663">
        <w:rPr>
          <w:rFonts w:ascii="Arial" w:eastAsiaTheme="minorEastAsia" w:hAnsi="Arial" w:cs="Arial"/>
          <w:sz w:val="20"/>
          <w:szCs w:val="20"/>
        </w:rPr>
        <w:t xml:space="preserve"> de </w:t>
      </w:r>
      <w:proofErr w:type="spellStart"/>
      <w:r w:rsidRPr="00A53663">
        <w:rPr>
          <w:rFonts w:ascii="Arial" w:eastAsiaTheme="minorEastAsia" w:hAnsi="Arial" w:cs="Arial"/>
          <w:sz w:val="20"/>
          <w:szCs w:val="20"/>
        </w:rPr>
        <w:t>Zurich</w:t>
      </w:r>
      <w:proofErr w:type="spellEnd"/>
      <w:r w:rsidRPr="00A53663">
        <w:rPr>
          <w:rFonts w:ascii="Arial" w:eastAsiaTheme="minorEastAsia" w:hAnsi="Arial" w:cs="Arial"/>
          <w:sz w:val="20"/>
          <w:szCs w:val="20"/>
        </w:rPr>
        <w:t xml:space="preserve">, </w:t>
      </w:r>
      <w:proofErr w:type="spellStart"/>
      <w:r w:rsidRPr="00A53663">
        <w:rPr>
          <w:rFonts w:ascii="Arial" w:eastAsiaTheme="minorEastAsia" w:hAnsi="Arial" w:cs="Arial"/>
          <w:sz w:val="20"/>
          <w:szCs w:val="20"/>
        </w:rPr>
        <w:t>Selnaustrasse</w:t>
      </w:r>
      <w:proofErr w:type="spellEnd"/>
      <w:r w:rsidRPr="00A53663">
        <w:rPr>
          <w:rFonts w:ascii="Arial" w:eastAsiaTheme="minorEastAsia" w:hAnsi="Arial" w:cs="Arial"/>
          <w:sz w:val="20"/>
          <w:szCs w:val="20"/>
        </w:rPr>
        <w:t xml:space="preserve"> 16, 8002 Zürich. Der Verkaufsprospekt, die Basisinformationsblätter, die Satzung sowie die letzten Jahres- und Halbjahresberichte können bei der Vertreterin in der Schweiz kostenlos bezogen werden.</w:t>
      </w:r>
    </w:p>
    <w:p w14:paraId="05C62705" w14:textId="77777777" w:rsidR="00A53663" w:rsidRDefault="00A53663" w:rsidP="00B94EB7">
      <w:pPr>
        <w:jc w:val="both"/>
        <w:rPr>
          <w:rFonts w:ascii="Arial" w:hAnsi="Arial"/>
          <w:sz w:val="20"/>
        </w:rPr>
      </w:pPr>
    </w:p>
    <w:p w14:paraId="57C053B2" w14:textId="77777777" w:rsidR="00A53663" w:rsidRDefault="00A53663" w:rsidP="00B94EB7">
      <w:pPr>
        <w:jc w:val="both"/>
        <w:rPr>
          <w:rFonts w:ascii="Arial" w:hAnsi="Arial"/>
          <w:sz w:val="20"/>
        </w:rPr>
      </w:pPr>
    </w:p>
    <w:p w14:paraId="29D85ACF" w14:textId="77777777" w:rsidR="00A53663" w:rsidRDefault="00A53663" w:rsidP="00B94EB7">
      <w:pPr>
        <w:jc w:val="both"/>
        <w:rPr>
          <w:rFonts w:ascii="Arial" w:hAnsi="Arial"/>
          <w:sz w:val="20"/>
        </w:rPr>
      </w:pPr>
    </w:p>
    <w:p w14:paraId="356C60B5" w14:textId="77777777" w:rsidR="00A53663" w:rsidRDefault="00A53663" w:rsidP="00B94EB7">
      <w:pPr>
        <w:jc w:val="both"/>
        <w:rPr>
          <w:rFonts w:ascii="Arial" w:hAnsi="Arial"/>
          <w:sz w:val="20"/>
        </w:rPr>
      </w:pPr>
    </w:p>
    <w:p w14:paraId="7A128ADB" w14:textId="77777777" w:rsidR="00A53663" w:rsidRDefault="00A53663" w:rsidP="00B94EB7">
      <w:pPr>
        <w:jc w:val="both"/>
        <w:rPr>
          <w:rFonts w:ascii="Arial" w:hAnsi="Arial"/>
          <w:sz w:val="20"/>
        </w:rPr>
      </w:pPr>
    </w:p>
    <w:p w14:paraId="1E5BE8C6" w14:textId="5B45DADD" w:rsidR="00B94EB7" w:rsidRPr="00FC4416" w:rsidRDefault="00B94EB7" w:rsidP="00B94EB7">
      <w:pPr>
        <w:jc w:val="both"/>
        <w:rPr>
          <w:rFonts w:ascii="Arial" w:eastAsiaTheme="minorHAnsi" w:hAnsi="Arial" w:cs="Arial"/>
          <w:sz w:val="20"/>
          <w:szCs w:val="20"/>
          <w:lang w:eastAsia="en-US"/>
        </w:rPr>
      </w:pPr>
    </w:p>
    <w:p w14:paraId="4736D165" w14:textId="26449D3B" w:rsidR="00B94EB7" w:rsidRDefault="00B94EB7" w:rsidP="00B94EB7">
      <w:pPr>
        <w:jc w:val="both"/>
        <w:rPr>
          <w:rFonts w:ascii="Arial" w:eastAsiaTheme="minorHAnsi" w:hAnsi="Arial" w:cs="Arial"/>
          <w:sz w:val="20"/>
          <w:szCs w:val="20"/>
        </w:rPr>
      </w:pPr>
      <w:r>
        <w:rPr>
          <w:rFonts w:ascii="Arial" w:hAnsi="Arial"/>
          <w:sz w:val="20"/>
        </w:rPr>
        <w:t>Mit freundlichen Grüßen</w:t>
      </w:r>
    </w:p>
    <w:p w14:paraId="2B1E532B" w14:textId="75FB35D0" w:rsidR="00B94EB7" w:rsidRDefault="00B94EB7" w:rsidP="49E26082">
      <w:pPr>
        <w:jc w:val="both"/>
        <w:rPr>
          <w:rFonts w:ascii="Arial" w:hAnsi="Arial"/>
          <w:sz w:val="20"/>
        </w:rPr>
      </w:pPr>
      <w:r>
        <w:rPr>
          <w:rFonts w:ascii="Arial" w:hAnsi="Arial"/>
          <w:sz w:val="20"/>
        </w:rPr>
        <w:t>Der Verwaltungsrat</w:t>
      </w:r>
    </w:p>
    <w:p w14:paraId="4E2FB1CC" w14:textId="77777777" w:rsidR="00FC4416" w:rsidRDefault="00FC4416" w:rsidP="49E26082">
      <w:pPr>
        <w:jc w:val="both"/>
        <w:rPr>
          <w:rFonts w:ascii="Arial" w:hAnsi="Arial"/>
          <w:sz w:val="20"/>
        </w:rPr>
      </w:pPr>
    </w:p>
    <w:p w14:paraId="17145021" w14:textId="77777777" w:rsidR="00FC4416" w:rsidRDefault="00FC4416" w:rsidP="49E26082">
      <w:pPr>
        <w:jc w:val="both"/>
        <w:rPr>
          <w:rFonts w:ascii="Arial" w:hAnsi="Arial"/>
          <w:sz w:val="20"/>
        </w:rPr>
      </w:pPr>
    </w:p>
    <w:p w14:paraId="5E5E7883" w14:textId="77777777" w:rsidR="00FC4416" w:rsidRDefault="00FC4416" w:rsidP="49E26082">
      <w:pPr>
        <w:jc w:val="both"/>
        <w:rPr>
          <w:rFonts w:ascii="Arial" w:hAnsi="Arial"/>
          <w:sz w:val="20"/>
        </w:rPr>
      </w:pPr>
    </w:p>
    <w:p w14:paraId="60551374" w14:textId="77777777" w:rsidR="00FC4416" w:rsidRDefault="00FC4416" w:rsidP="49E26082">
      <w:pPr>
        <w:jc w:val="both"/>
        <w:rPr>
          <w:rFonts w:ascii="Arial" w:hAnsi="Arial"/>
          <w:sz w:val="20"/>
        </w:rPr>
      </w:pPr>
    </w:p>
    <w:p w14:paraId="15BC2F91" w14:textId="6802996C" w:rsidR="00FC4416" w:rsidRDefault="00FC4416" w:rsidP="49E26082">
      <w:pPr>
        <w:jc w:val="both"/>
        <w:rPr>
          <w:rFonts w:ascii="Arial" w:eastAsiaTheme="minorEastAsia" w:hAnsi="Arial" w:cs="Arial"/>
          <w:sz w:val="20"/>
          <w:szCs w:val="20"/>
        </w:rPr>
      </w:pPr>
      <w:r w:rsidRPr="00FC4416">
        <w:rPr>
          <w:rFonts w:ascii="Arial" w:eastAsiaTheme="minorEastAsia" w:hAnsi="Arial" w:cs="Arial"/>
          <w:sz w:val="20"/>
          <w:szCs w:val="20"/>
        </w:rPr>
        <w:t>Dieses Dokument ist eine Übersetzung des Originaldokuments. Für den Fall von Unstimmigkeiten oder Mehrdeutigkeiten hinsichtlich der Auslegung der Übersetzung ist die englischsprachige Originalfassung ausschlaggebend, solange dies nicht gegen die örtlichen Gesetze der betreffenden Rechtsordnung verstößt.</w:t>
      </w:r>
    </w:p>
    <w:p w14:paraId="690200EA" w14:textId="77777777" w:rsidR="00A53663" w:rsidRDefault="00A53663" w:rsidP="49E26082">
      <w:pPr>
        <w:jc w:val="both"/>
        <w:rPr>
          <w:rFonts w:ascii="Arial" w:eastAsiaTheme="minorEastAsia" w:hAnsi="Arial" w:cs="Arial"/>
          <w:sz w:val="20"/>
          <w:szCs w:val="20"/>
        </w:rPr>
      </w:pPr>
    </w:p>
    <w:p w14:paraId="093BC675" w14:textId="77777777" w:rsidR="00A53663" w:rsidRPr="00D252DC" w:rsidRDefault="00A53663" w:rsidP="49E26082">
      <w:pPr>
        <w:jc w:val="both"/>
        <w:rPr>
          <w:rFonts w:ascii="Arial" w:eastAsiaTheme="minorEastAsia" w:hAnsi="Arial" w:cs="Arial"/>
          <w:sz w:val="20"/>
          <w:szCs w:val="20"/>
        </w:rPr>
      </w:pPr>
    </w:p>
    <w:sectPr w:rsidR="00A53663" w:rsidRPr="00D252DC">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45FD" w14:textId="77777777" w:rsidR="00E9135A" w:rsidRDefault="00E9135A" w:rsidP="00D06652">
      <w:r>
        <w:separator/>
      </w:r>
    </w:p>
  </w:endnote>
  <w:endnote w:type="continuationSeparator" w:id="0">
    <w:p w14:paraId="7DF31CCD" w14:textId="77777777" w:rsidR="00E9135A" w:rsidRDefault="00E9135A" w:rsidP="00D06652">
      <w:r>
        <w:continuationSeparator/>
      </w:r>
    </w:p>
  </w:endnote>
  <w:endnote w:type="continuationNotice" w:id="1">
    <w:p w14:paraId="3A307AAB" w14:textId="77777777" w:rsidR="00E9135A" w:rsidRDefault="00E91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985"/>
      <w:gridCol w:w="3260"/>
      <w:gridCol w:w="2410"/>
    </w:tblGrid>
    <w:tr w:rsidR="00F64980" w:rsidRPr="00EC0C87" w14:paraId="52242E07" w14:textId="77777777" w:rsidTr="49E26082">
      <w:trPr>
        <w:cantSplit/>
        <w:trHeight w:hRule="exact" w:val="1831"/>
      </w:trPr>
      <w:tc>
        <w:tcPr>
          <w:tcW w:w="2985" w:type="dxa"/>
        </w:tcPr>
        <w:p w14:paraId="249C515F" w14:textId="3E3B8A5F" w:rsidR="00F64980" w:rsidRPr="00F64980" w:rsidRDefault="00F64980" w:rsidP="00F64980">
          <w:pPr>
            <w:tabs>
              <w:tab w:val="center" w:pos="4536"/>
              <w:tab w:val="right" w:pos="9072"/>
            </w:tabs>
            <w:spacing w:line="220" w:lineRule="exact"/>
            <w:rPr>
              <w:rFonts w:ascii="Arial" w:eastAsiaTheme="minorHAnsi" w:hAnsi="Arial" w:cs="Arial"/>
              <w:sz w:val="16"/>
              <w:szCs w:val="16"/>
            </w:rPr>
          </w:pPr>
          <w:r>
            <w:rPr>
              <w:rFonts w:ascii="Arial" w:hAnsi="Arial"/>
              <w:sz w:val="16"/>
            </w:rPr>
            <w:t>Allianz Global Investors Fund</w:t>
          </w:r>
        </w:p>
        <w:p w14:paraId="1BEA787D" w14:textId="77777777" w:rsidR="00F64980" w:rsidRPr="00F64980" w:rsidRDefault="00F64980" w:rsidP="00F64980">
          <w:pPr>
            <w:tabs>
              <w:tab w:val="center" w:pos="4536"/>
              <w:tab w:val="right" w:pos="9072"/>
            </w:tabs>
            <w:spacing w:line="220" w:lineRule="exact"/>
            <w:rPr>
              <w:rFonts w:ascii="Arial" w:eastAsiaTheme="minorHAnsi" w:hAnsi="Arial" w:cs="Arial"/>
              <w:sz w:val="16"/>
              <w:szCs w:val="16"/>
            </w:rPr>
          </w:pPr>
          <w:r>
            <w:rPr>
              <w:rFonts w:ascii="Arial" w:hAnsi="Arial"/>
              <w:sz w:val="16"/>
            </w:rPr>
            <w:t xml:space="preserve">6A, route de </w:t>
          </w:r>
          <w:proofErr w:type="spellStart"/>
          <w:r>
            <w:rPr>
              <w:rFonts w:ascii="Arial" w:hAnsi="Arial"/>
              <w:sz w:val="16"/>
            </w:rPr>
            <w:t>Trèves</w:t>
          </w:r>
          <w:proofErr w:type="spellEnd"/>
        </w:p>
        <w:p w14:paraId="0D1D181F" w14:textId="77777777" w:rsidR="00F64980" w:rsidRPr="00F64980" w:rsidRDefault="00F64980" w:rsidP="00F64980">
          <w:pPr>
            <w:tabs>
              <w:tab w:val="center" w:pos="4536"/>
              <w:tab w:val="right" w:pos="9072"/>
            </w:tabs>
            <w:spacing w:line="220" w:lineRule="exact"/>
            <w:rPr>
              <w:rFonts w:ascii="Arial" w:eastAsiaTheme="minorHAnsi" w:hAnsi="Arial" w:cs="Arial"/>
              <w:sz w:val="16"/>
              <w:szCs w:val="16"/>
            </w:rPr>
          </w:pPr>
          <w:r>
            <w:rPr>
              <w:rFonts w:ascii="Arial" w:hAnsi="Arial"/>
              <w:sz w:val="16"/>
            </w:rPr>
            <w:t>L-2633 Senningerberg</w:t>
          </w:r>
        </w:p>
        <w:p w14:paraId="30332665" w14:textId="77777777" w:rsidR="00F64980" w:rsidRPr="00F64980" w:rsidRDefault="00F64980" w:rsidP="00F64980">
          <w:pPr>
            <w:tabs>
              <w:tab w:val="center" w:pos="4536"/>
              <w:tab w:val="right" w:pos="9072"/>
            </w:tabs>
            <w:spacing w:line="220" w:lineRule="exact"/>
            <w:rPr>
              <w:rFonts w:ascii="Arial" w:eastAsiaTheme="minorHAnsi" w:hAnsi="Arial" w:cs="Arial"/>
              <w:sz w:val="16"/>
              <w:szCs w:val="16"/>
            </w:rPr>
          </w:pPr>
          <w:r>
            <w:rPr>
              <w:rFonts w:ascii="Arial" w:hAnsi="Arial"/>
              <w:sz w:val="16"/>
            </w:rPr>
            <w:t>P.O. Box 179</w:t>
          </w:r>
        </w:p>
        <w:p w14:paraId="3554AEF5" w14:textId="77777777" w:rsidR="00F64980" w:rsidRPr="00F64980" w:rsidRDefault="00F64980" w:rsidP="00F64980">
          <w:pPr>
            <w:tabs>
              <w:tab w:val="center" w:pos="4536"/>
              <w:tab w:val="right" w:pos="9072"/>
            </w:tabs>
            <w:spacing w:line="220" w:lineRule="exact"/>
            <w:rPr>
              <w:rFonts w:ascii="Arial" w:eastAsiaTheme="minorHAnsi" w:hAnsi="Arial" w:cs="Arial"/>
              <w:sz w:val="16"/>
              <w:szCs w:val="16"/>
            </w:rPr>
          </w:pPr>
          <w:r>
            <w:rPr>
              <w:rFonts w:ascii="Arial" w:hAnsi="Arial"/>
              <w:sz w:val="16"/>
            </w:rPr>
            <w:t>L-2011 Luxemburg</w:t>
          </w:r>
        </w:p>
      </w:tc>
      <w:tc>
        <w:tcPr>
          <w:tcW w:w="3260" w:type="dxa"/>
        </w:tcPr>
        <w:p w14:paraId="0CC8C4AC" w14:textId="77777777" w:rsidR="00F64980" w:rsidRPr="00FC4416" w:rsidRDefault="00F64980" w:rsidP="00F64980">
          <w:pPr>
            <w:tabs>
              <w:tab w:val="center" w:pos="4536"/>
              <w:tab w:val="right" w:pos="9072"/>
            </w:tabs>
            <w:spacing w:line="200" w:lineRule="exact"/>
            <w:ind w:left="462" w:hanging="462"/>
            <w:rPr>
              <w:rFonts w:ascii="Arial" w:eastAsiaTheme="minorHAnsi" w:hAnsi="Arial" w:cs="Arial"/>
              <w:sz w:val="16"/>
              <w:szCs w:val="16"/>
              <w:lang w:val="pt-BR"/>
            </w:rPr>
          </w:pPr>
          <w:r w:rsidRPr="00FC4416">
            <w:rPr>
              <w:rFonts w:ascii="Arial" w:hAnsi="Arial"/>
              <w:sz w:val="16"/>
              <w:lang w:val="pt-BR"/>
            </w:rPr>
            <w:t>Tel. +352 463 463-1</w:t>
          </w:r>
        </w:p>
        <w:p w14:paraId="0D2DC1E5" w14:textId="77777777" w:rsidR="00F64980" w:rsidRPr="00FC4416" w:rsidRDefault="00F64980" w:rsidP="00F64980">
          <w:pPr>
            <w:tabs>
              <w:tab w:val="center" w:pos="4536"/>
              <w:tab w:val="right" w:pos="9072"/>
            </w:tabs>
            <w:spacing w:line="200" w:lineRule="exact"/>
            <w:ind w:left="462" w:hanging="462"/>
            <w:rPr>
              <w:rFonts w:ascii="Arial" w:eastAsiaTheme="minorHAnsi" w:hAnsi="Arial" w:cs="Arial"/>
              <w:color w:val="000000"/>
              <w:sz w:val="16"/>
              <w:szCs w:val="16"/>
              <w:lang w:val="pt-BR"/>
            </w:rPr>
          </w:pPr>
          <w:r w:rsidRPr="00FC4416">
            <w:rPr>
              <w:rFonts w:ascii="Arial" w:hAnsi="Arial"/>
              <w:sz w:val="16"/>
              <w:lang w:val="pt-BR"/>
            </w:rPr>
            <w:t>Fax +352 463 463-620</w:t>
          </w:r>
        </w:p>
        <w:p w14:paraId="2F7425A4" w14:textId="6ACC788A" w:rsidR="00F64980" w:rsidRPr="00FC4416" w:rsidRDefault="49E26082" w:rsidP="49E26082">
          <w:pPr>
            <w:tabs>
              <w:tab w:val="center" w:pos="4536"/>
              <w:tab w:val="right" w:pos="9072"/>
            </w:tabs>
            <w:spacing w:line="200" w:lineRule="exact"/>
            <w:ind w:left="462" w:hanging="462"/>
            <w:rPr>
              <w:rFonts w:ascii="Arial" w:eastAsiaTheme="minorEastAsia" w:hAnsi="Arial" w:cs="Arial"/>
              <w:color w:val="000000"/>
              <w:sz w:val="16"/>
              <w:szCs w:val="16"/>
              <w:lang w:val="pt-BR"/>
            </w:rPr>
          </w:pPr>
          <w:r w:rsidRPr="00FC4416">
            <w:rPr>
              <w:rFonts w:ascii="Arial" w:hAnsi="Arial"/>
              <w:color w:val="000000" w:themeColor="text1"/>
              <w:sz w:val="16"/>
              <w:lang w:val="pt-BR"/>
            </w:rPr>
            <w:t>E-Mail info-lux@allianzgi.com</w:t>
          </w:r>
        </w:p>
        <w:p w14:paraId="15D4C7F1" w14:textId="77777777" w:rsidR="00F64980" w:rsidRPr="00FC4416" w:rsidRDefault="00F64980" w:rsidP="00F64980">
          <w:pPr>
            <w:tabs>
              <w:tab w:val="center" w:pos="4536"/>
              <w:tab w:val="right" w:pos="9072"/>
            </w:tabs>
            <w:spacing w:line="200" w:lineRule="exact"/>
            <w:rPr>
              <w:rFonts w:ascii="Arial" w:eastAsiaTheme="minorHAnsi" w:hAnsi="Arial" w:cs="Arial"/>
              <w:color w:val="000000"/>
              <w:sz w:val="16"/>
              <w:szCs w:val="16"/>
              <w:lang w:val="fr-CA"/>
            </w:rPr>
          </w:pPr>
          <w:r w:rsidRPr="00FC4416">
            <w:rPr>
              <w:rFonts w:ascii="Arial" w:hAnsi="Arial"/>
              <w:color w:val="000000"/>
              <w:sz w:val="16"/>
              <w:lang w:val="fr-CA"/>
            </w:rPr>
            <w:t>https://lu.allianzgi.com</w:t>
          </w:r>
        </w:p>
        <w:p w14:paraId="1F072758" w14:textId="77777777" w:rsidR="00F64980" w:rsidRPr="00F64980" w:rsidRDefault="00F64980" w:rsidP="00F64980">
          <w:pPr>
            <w:tabs>
              <w:tab w:val="center" w:pos="4536"/>
              <w:tab w:val="right" w:pos="9072"/>
            </w:tabs>
            <w:spacing w:line="200" w:lineRule="exact"/>
            <w:rPr>
              <w:rFonts w:ascii="Arial" w:eastAsiaTheme="minorHAnsi" w:hAnsi="Arial" w:cs="Arial"/>
              <w:color w:val="000000"/>
              <w:sz w:val="16"/>
              <w:szCs w:val="16"/>
              <w:lang w:val="fr-FR" w:eastAsia="en-US"/>
            </w:rPr>
          </w:pPr>
        </w:p>
        <w:p w14:paraId="707D16AF" w14:textId="77777777" w:rsidR="00F64980" w:rsidRPr="00FC4416" w:rsidRDefault="00F64980" w:rsidP="00F64980">
          <w:pPr>
            <w:tabs>
              <w:tab w:val="center" w:pos="4536"/>
              <w:tab w:val="right" w:pos="9072"/>
            </w:tabs>
            <w:spacing w:line="200" w:lineRule="exact"/>
            <w:rPr>
              <w:rFonts w:ascii="Arial" w:eastAsiaTheme="minorHAnsi" w:hAnsi="Arial" w:cs="Arial"/>
              <w:sz w:val="16"/>
              <w:szCs w:val="16"/>
              <w:lang w:val="fr-CA"/>
            </w:rPr>
          </w:pPr>
          <w:r w:rsidRPr="00FC4416">
            <w:rPr>
              <w:rFonts w:ascii="Arial" w:hAnsi="Arial"/>
              <w:sz w:val="16"/>
              <w:lang w:val="fr-CA"/>
            </w:rPr>
            <w:t>Société d'Investissement à Capital Variable</w:t>
          </w:r>
        </w:p>
        <w:p w14:paraId="09DC2EDD" w14:textId="77777777" w:rsidR="00F64980" w:rsidRPr="00F64980" w:rsidRDefault="00F64980" w:rsidP="00F64980">
          <w:pPr>
            <w:tabs>
              <w:tab w:val="center" w:pos="4536"/>
              <w:tab w:val="right" w:pos="9072"/>
            </w:tabs>
            <w:spacing w:line="200" w:lineRule="exact"/>
            <w:rPr>
              <w:rFonts w:ascii="Arial" w:eastAsiaTheme="minorHAnsi" w:hAnsi="Arial" w:cs="Arial"/>
              <w:sz w:val="16"/>
              <w:szCs w:val="16"/>
            </w:rPr>
          </w:pPr>
          <w:r>
            <w:rPr>
              <w:rFonts w:ascii="Arial" w:hAnsi="Arial"/>
              <w:sz w:val="16"/>
            </w:rPr>
            <w:t xml:space="preserve">Sitz: Senningerberg </w:t>
          </w:r>
        </w:p>
        <w:p w14:paraId="5EFE8E5A" w14:textId="77777777" w:rsidR="00F64980" w:rsidRPr="00F64980" w:rsidRDefault="00F64980" w:rsidP="00F64980">
          <w:pPr>
            <w:tabs>
              <w:tab w:val="center" w:pos="4536"/>
              <w:tab w:val="right" w:pos="9072"/>
            </w:tabs>
            <w:spacing w:line="220" w:lineRule="exact"/>
            <w:rPr>
              <w:rFonts w:ascii="Arial" w:eastAsiaTheme="minorHAnsi" w:hAnsi="Arial" w:cs="Arial"/>
              <w:sz w:val="16"/>
              <w:szCs w:val="16"/>
            </w:rPr>
          </w:pPr>
          <w:r>
            <w:rPr>
              <w:rFonts w:ascii="Arial" w:hAnsi="Arial"/>
              <w:sz w:val="16"/>
            </w:rPr>
            <w:t>Handelsregister: B 71.182</w:t>
          </w:r>
        </w:p>
      </w:tc>
      <w:tc>
        <w:tcPr>
          <w:tcW w:w="2410" w:type="dxa"/>
        </w:tcPr>
        <w:p w14:paraId="66A80A21" w14:textId="77777777" w:rsidR="00F64980" w:rsidRPr="00FC4416" w:rsidRDefault="00F64980" w:rsidP="00F64980">
          <w:pPr>
            <w:tabs>
              <w:tab w:val="center" w:pos="4536"/>
              <w:tab w:val="right" w:pos="9072"/>
            </w:tabs>
            <w:spacing w:line="200" w:lineRule="exact"/>
            <w:rPr>
              <w:rFonts w:ascii="Arial" w:eastAsiaTheme="minorHAnsi" w:hAnsi="Arial" w:cs="Arial"/>
              <w:sz w:val="16"/>
              <w:szCs w:val="16"/>
              <w:lang w:val="sv-SE"/>
            </w:rPr>
          </w:pPr>
          <w:r w:rsidRPr="00FC4416">
            <w:rPr>
              <w:rFonts w:ascii="Arial" w:hAnsi="Arial"/>
              <w:sz w:val="16"/>
              <w:lang w:val="sv-SE"/>
            </w:rPr>
            <w:t>Verwaltungsrat:</w:t>
          </w:r>
        </w:p>
        <w:p w14:paraId="6D88240C" w14:textId="77777777" w:rsidR="00AF7D71" w:rsidRPr="00FC4416" w:rsidRDefault="00AF7D71" w:rsidP="00AF7D71">
          <w:pPr>
            <w:tabs>
              <w:tab w:val="center" w:pos="4536"/>
              <w:tab w:val="right" w:pos="9072"/>
            </w:tabs>
            <w:spacing w:line="200" w:lineRule="exact"/>
            <w:rPr>
              <w:rFonts w:ascii="Arial" w:eastAsiaTheme="minorHAnsi" w:hAnsi="Arial" w:cs="Arial"/>
              <w:sz w:val="16"/>
              <w:szCs w:val="16"/>
              <w:lang w:val="sv-SE"/>
            </w:rPr>
          </w:pPr>
          <w:r w:rsidRPr="00FC4416">
            <w:rPr>
              <w:rFonts w:ascii="Arial" w:hAnsi="Arial"/>
              <w:sz w:val="16"/>
              <w:lang w:val="sv-SE"/>
            </w:rPr>
            <w:t>Silvana Pacitti</w:t>
          </w:r>
        </w:p>
        <w:p w14:paraId="1ADBDB3F" w14:textId="77777777" w:rsidR="00AF7D71" w:rsidRPr="00FC4416" w:rsidRDefault="00AF7D71" w:rsidP="00AF7D71">
          <w:pPr>
            <w:tabs>
              <w:tab w:val="center" w:pos="4536"/>
              <w:tab w:val="right" w:pos="9072"/>
            </w:tabs>
            <w:spacing w:line="200" w:lineRule="exact"/>
            <w:rPr>
              <w:rFonts w:ascii="Arial" w:eastAsiaTheme="minorHAnsi" w:hAnsi="Arial" w:cs="Arial"/>
              <w:sz w:val="16"/>
              <w:szCs w:val="16"/>
              <w:lang w:val="sv-SE"/>
            </w:rPr>
          </w:pPr>
          <w:r w:rsidRPr="00FC4416">
            <w:rPr>
              <w:rFonts w:ascii="Arial" w:hAnsi="Arial"/>
              <w:sz w:val="16"/>
              <w:lang w:val="sv-SE"/>
            </w:rPr>
            <w:t>Oliver Drissen</w:t>
          </w:r>
        </w:p>
        <w:p w14:paraId="7F76AF2A" w14:textId="77777777" w:rsidR="00AF7D71" w:rsidRPr="00FC4416" w:rsidRDefault="00AF7D71" w:rsidP="00AF7D71">
          <w:pPr>
            <w:tabs>
              <w:tab w:val="center" w:pos="4536"/>
              <w:tab w:val="right" w:pos="9072"/>
            </w:tabs>
            <w:spacing w:line="200" w:lineRule="exact"/>
            <w:rPr>
              <w:rFonts w:ascii="Arial" w:eastAsiaTheme="minorHAnsi" w:hAnsi="Arial" w:cs="Arial"/>
              <w:sz w:val="16"/>
              <w:szCs w:val="16"/>
              <w:lang w:val="sv-SE"/>
            </w:rPr>
          </w:pPr>
          <w:r w:rsidRPr="00FC4416">
            <w:rPr>
              <w:rFonts w:ascii="Arial" w:hAnsi="Arial"/>
              <w:sz w:val="16"/>
              <w:lang w:val="sv-SE"/>
            </w:rPr>
            <w:t>Hanna Duer</w:t>
          </w:r>
        </w:p>
        <w:p w14:paraId="072ACFB4" w14:textId="77777777" w:rsidR="00AF7D71" w:rsidRPr="00EC0C87" w:rsidRDefault="00AF7D71" w:rsidP="00AF7D71">
          <w:pPr>
            <w:tabs>
              <w:tab w:val="center" w:pos="4536"/>
              <w:tab w:val="right" w:pos="9072"/>
            </w:tabs>
            <w:spacing w:line="200" w:lineRule="exact"/>
            <w:rPr>
              <w:rFonts w:ascii="Arial" w:eastAsiaTheme="minorHAnsi" w:hAnsi="Arial" w:cs="Arial"/>
              <w:sz w:val="16"/>
              <w:szCs w:val="16"/>
              <w:lang w:val="sv-SE"/>
            </w:rPr>
          </w:pPr>
          <w:r w:rsidRPr="00EC0C87">
            <w:rPr>
              <w:rFonts w:ascii="Arial" w:hAnsi="Arial"/>
              <w:sz w:val="16"/>
              <w:lang w:val="sv-SE"/>
            </w:rPr>
            <w:t>Carina Feider</w:t>
          </w:r>
        </w:p>
        <w:p w14:paraId="089A98CF" w14:textId="1F12E754" w:rsidR="00AF7D71" w:rsidRPr="00EC0C87" w:rsidRDefault="00034C10" w:rsidP="00AF7D71">
          <w:pPr>
            <w:tabs>
              <w:tab w:val="center" w:pos="4536"/>
              <w:tab w:val="right" w:pos="9072"/>
            </w:tabs>
            <w:spacing w:line="200" w:lineRule="exact"/>
            <w:rPr>
              <w:rFonts w:ascii="Arial" w:eastAsiaTheme="minorHAnsi" w:hAnsi="Arial" w:cs="Arial"/>
              <w:sz w:val="16"/>
              <w:szCs w:val="16"/>
              <w:lang w:val="sv-SE"/>
            </w:rPr>
          </w:pPr>
          <w:r w:rsidRPr="00EC0C87">
            <w:rPr>
              <w:rFonts w:ascii="Arial" w:hAnsi="Arial"/>
              <w:sz w:val="16"/>
              <w:lang w:val="sv-SE"/>
            </w:rPr>
            <w:t>Heiko Tilmont</w:t>
          </w:r>
        </w:p>
        <w:p w14:paraId="1DD010E0" w14:textId="77777777" w:rsidR="00F64980" w:rsidRPr="00EC0C87" w:rsidRDefault="00F64980" w:rsidP="00F64980">
          <w:pPr>
            <w:tabs>
              <w:tab w:val="center" w:pos="4536"/>
              <w:tab w:val="right" w:pos="9072"/>
            </w:tabs>
            <w:spacing w:line="200" w:lineRule="exact"/>
            <w:rPr>
              <w:rFonts w:ascii="Arial" w:eastAsiaTheme="minorHAnsi" w:hAnsi="Arial" w:cs="Arial"/>
              <w:sz w:val="16"/>
              <w:szCs w:val="16"/>
              <w:lang w:val="sv-SE" w:eastAsia="en-US"/>
            </w:rPr>
          </w:pPr>
        </w:p>
      </w:tc>
    </w:tr>
  </w:tbl>
  <w:p w14:paraId="63DE90D2" w14:textId="6B8D8F33" w:rsidR="0000678A" w:rsidRPr="00EC0C87" w:rsidRDefault="0000678A" w:rsidP="49E26082">
    <w:pPr>
      <w:pStyle w:val="Footer"/>
      <w:jc w:val="center"/>
      <w:rPr>
        <w:rFonts w:ascii="Arial" w:hAnsi="Arial" w:cs="Arial"/>
        <w:b/>
        <w:bCs/>
        <w:sz w:val="14"/>
        <w:szCs w:val="14"/>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DCBC" w14:textId="77777777" w:rsidR="00E9135A" w:rsidRDefault="00E9135A" w:rsidP="00D06652">
      <w:r>
        <w:separator/>
      </w:r>
    </w:p>
  </w:footnote>
  <w:footnote w:type="continuationSeparator" w:id="0">
    <w:p w14:paraId="5ABB1117" w14:textId="77777777" w:rsidR="00E9135A" w:rsidRDefault="00E9135A" w:rsidP="00D06652">
      <w:r>
        <w:continuationSeparator/>
      </w:r>
    </w:p>
  </w:footnote>
  <w:footnote w:type="continuationNotice" w:id="1">
    <w:p w14:paraId="652AC883" w14:textId="77777777" w:rsidR="00E9135A" w:rsidRDefault="00E91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F1CB" w14:textId="75F08D68" w:rsidR="009C5A86" w:rsidRDefault="009C5A86" w:rsidP="009C5A86">
    <w:pPr>
      <w:pStyle w:val="Header"/>
      <w:jc w:val="right"/>
    </w:pPr>
    <w:r>
      <w:rPr>
        <w:noProof/>
      </w:rPr>
      <w:drawing>
        <wp:inline distT="0" distB="0" distL="0" distR="0" wp14:anchorId="146DD053" wp14:editId="53DDB19B">
          <wp:extent cx="1260000" cy="49175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0000" cy="491752"/>
                  </a:xfrm>
                  <a:prstGeom prst="rect">
                    <a:avLst/>
                  </a:prstGeom>
                </pic:spPr>
              </pic:pic>
            </a:graphicData>
          </a:graphic>
        </wp:inline>
      </w:drawing>
    </w:r>
  </w:p>
  <w:tbl>
    <w:tblPr>
      <w:tblW w:w="10490" w:type="dxa"/>
      <w:tblInd w:w="-931" w:type="dxa"/>
      <w:tblLayout w:type="fixed"/>
      <w:tblCellMar>
        <w:left w:w="0" w:type="dxa"/>
        <w:right w:w="0" w:type="dxa"/>
      </w:tblCellMar>
      <w:tblLook w:val="0000" w:firstRow="0" w:lastRow="0" w:firstColumn="0" w:lastColumn="0" w:noHBand="0" w:noVBand="0"/>
    </w:tblPr>
    <w:tblGrid>
      <w:gridCol w:w="788"/>
      <w:gridCol w:w="142"/>
      <w:gridCol w:w="9560"/>
    </w:tblGrid>
    <w:tr w:rsidR="00DB176E" w:rsidRPr="002F3120" w14:paraId="379AFA76" w14:textId="77777777" w:rsidTr="002E7907">
      <w:trPr>
        <w:cantSplit/>
        <w:trHeight w:hRule="exact" w:val="533"/>
      </w:trPr>
      <w:tc>
        <w:tcPr>
          <w:tcW w:w="788" w:type="dxa"/>
        </w:tcPr>
        <w:p w14:paraId="55D41B53" w14:textId="41765B96" w:rsidR="00DB176E" w:rsidRPr="002F3120" w:rsidRDefault="00DB176E" w:rsidP="00DB176E">
          <w:pPr>
            <w:spacing w:line="262" w:lineRule="exact"/>
            <w:jc w:val="right"/>
            <w:rPr>
              <w:rFonts w:ascii="Arial" w:hAnsi="Arial" w:cs="Arial"/>
              <w:sz w:val="16"/>
              <w:szCs w:val="16"/>
              <w:lang w:val="en-US"/>
            </w:rPr>
          </w:pPr>
        </w:p>
      </w:tc>
      <w:tc>
        <w:tcPr>
          <w:tcW w:w="142" w:type="dxa"/>
        </w:tcPr>
        <w:p w14:paraId="45291625" w14:textId="77777777" w:rsidR="00DB176E" w:rsidRPr="002F3120" w:rsidRDefault="00DB176E" w:rsidP="00DB176E">
          <w:pPr>
            <w:spacing w:line="262" w:lineRule="exact"/>
            <w:rPr>
              <w:rFonts w:ascii="Arial" w:hAnsi="Arial" w:cs="Arial"/>
              <w:sz w:val="16"/>
              <w:szCs w:val="16"/>
              <w:lang w:val="en-US"/>
            </w:rPr>
          </w:pPr>
        </w:p>
      </w:tc>
      <w:tc>
        <w:tcPr>
          <w:tcW w:w="9560" w:type="dxa"/>
        </w:tcPr>
        <w:p w14:paraId="216465CD" w14:textId="77777777" w:rsidR="00DB176E" w:rsidRDefault="002E7907" w:rsidP="00DB176E">
          <w:pPr>
            <w:pStyle w:val="Header"/>
            <w:spacing w:line="262" w:lineRule="exact"/>
            <w:rPr>
              <w:rFonts w:ascii="Arial" w:hAnsi="Arial" w:cs="Arial"/>
              <w:b/>
              <w:bCs/>
              <w:noProof/>
            </w:rPr>
          </w:pPr>
          <w:r>
            <w:rPr>
              <w:rFonts w:ascii="Arial" w:hAnsi="Arial"/>
              <w:b/>
            </w:rPr>
            <w:t>Allianz Global Investors Fund</w:t>
          </w:r>
        </w:p>
        <w:p w14:paraId="6C3C1AB9" w14:textId="77777777" w:rsidR="002E7907" w:rsidRDefault="002E7907" w:rsidP="00DB176E">
          <w:pPr>
            <w:pStyle w:val="Header"/>
            <w:spacing w:line="262" w:lineRule="exact"/>
            <w:rPr>
              <w:rFonts w:ascii="Arial" w:hAnsi="Arial" w:cs="Arial"/>
              <w:sz w:val="16"/>
              <w:szCs w:val="16"/>
              <w:lang w:val="en-US"/>
            </w:rPr>
          </w:pPr>
        </w:p>
        <w:p w14:paraId="2AC9B754" w14:textId="77777777" w:rsidR="002E7907" w:rsidRDefault="002E7907" w:rsidP="00DB176E">
          <w:pPr>
            <w:pStyle w:val="Header"/>
            <w:spacing w:line="262" w:lineRule="exact"/>
            <w:rPr>
              <w:rFonts w:ascii="Arial" w:hAnsi="Arial" w:cs="Arial"/>
              <w:sz w:val="16"/>
              <w:szCs w:val="16"/>
            </w:rPr>
          </w:pPr>
          <w:r>
            <w:rPr>
              <w:rFonts w:ascii="Arial" w:hAnsi="Arial"/>
              <w:sz w:val="16"/>
            </w:rPr>
            <w:t>Allianz Global Investors Fund    P.O. Box 179    L-2011 Luxemburg</w:t>
          </w:r>
        </w:p>
        <w:p w14:paraId="54435EDC" w14:textId="0807B57A" w:rsidR="002E7907" w:rsidRPr="002F3120" w:rsidRDefault="002E7907" w:rsidP="00DB176E">
          <w:pPr>
            <w:pStyle w:val="Header"/>
            <w:spacing w:line="262" w:lineRule="exact"/>
            <w:rPr>
              <w:rFonts w:ascii="Arial" w:hAnsi="Arial" w:cs="Arial"/>
              <w:sz w:val="16"/>
              <w:szCs w:val="16"/>
              <w:lang w:val="en-US"/>
            </w:rPr>
          </w:pPr>
        </w:p>
      </w:tc>
    </w:tr>
  </w:tbl>
  <w:p w14:paraId="6333C573" w14:textId="2FEC93BC" w:rsidR="002E7907" w:rsidRDefault="002E7907" w:rsidP="19D072A4">
    <w:pPr>
      <w:pStyle w:val="Header"/>
      <w:ind w:right="12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7EF9"/>
    <w:multiLevelType w:val="hybridMultilevel"/>
    <w:tmpl w:val="E5CC8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136BF"/>
    <w:multiLevelType w:val="hybridMultilevel"/>
    <w:tmpl w:val="082C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86459"/>
    <w:multiLevelType w:val="hybridMultilevel"/>
    <w:tmpl w:val="458C6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3672B5"/>
    <w:multiLevelType w:val="hybridMultilevel"/>
    <w:tmpl w:val="9F7CC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221197">
    <w:abstractNumId w:val="0"/>
  </w:num>
  <w:num w:numId="2" w16cid:durableId="294919409">
    <w:abstractNumId w:val="1"/>
  </w:num>
  <w:num w:numId="3" w16cid:durableId="1206605388">
    <w:abstractNumId w:val="2"/>
  </w:num>
  <w:num w:numId="4" w16cid:durableId="1387609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B7"/>
    <w:rsid w:val="0000678A"/>
    <w:rsid w:val="0001090A"/>
    <w:rsid w:val="00011B1C"/>
    <w:rsid w:val="00013312"/>
    <w:rsid w:val="00015565"/>
    <w:rsid w:val="000256F1"/>
    <w:rsid w:val="0002686E"/>
    <w:rsid w:val="00033FF6"/>
    <w:rsid w:val="00034C10"/>
    <w:rsid w:val="0004141A"/>
    <w:rsid w:val="00052407"/>
    <w:rsid w:val="000669D4"/>
    <w:rsid w:val="000751B5"/>
    <w:rsid w:val="00082F05"/>
    <w:rsid w:val="00091A37"/>
    <w:rsid w:val="000C0359"/>
    <w:rsid w:val="000D5C2C"/>
    <w:rsid w:val="000D6A61"/>
    <w:rsid w:val="001004DD"/>
    <w:rsid w:val="0010364B"/>
    <w:rsid w:val="00107277"/>
    <w:rsid w:val="001136EC"/>
    <w:rsid w:val="00113FE7"/>
    <w:rsid w:val="00116D0A"/>
    <w:rsid w:val="00117FF7"/>
    <w:rsid w:val="001334A6"/>
    <w:rsid w:val="0013363B"/>
    <w:rsid w:val="00141E58"/>
    <w:rsid w:val="001552E7"/>
    <w:rsid w:val="001A1A01"/>
    <w:rsid w:val="001A256A"/>
    <w:rsid w:val="001A621D"/>
    <w:rsid w:val="001C0ED0"/>
    <w:rsid w:val="001D3E91"/>
    <w:rsid w:val="001D634D"/>
    <w:rsid w:val="001E78D9"/>
    <w:rsid w:val="002015AD"/>
    <w:rsid w:val="00226B4A"/>
    <w:rsid w:val="0023500E"/>
    <w:rsid w:val="00281D0D"/>
    <w:rsid w:val="002A7F9A"/>
    <w:rsid w:val="002B53B7"/>
    <w:rsid w:val="002C361D"/>
    <w:rsid w:val="002C6D91"/>
    <w:rsid w:val="002D2147"/>
    <w:rsid w:val="002E7907"/>
    <w:rsid w:val="002F120C"/>
    <w:rsid w:val="002F1486"/>
    <w:rsid w:val="00300DC3"/>
    <w:rsid w:val="003129F9"/>
    <w:rsid w:val="00330D74"/>
    <w:rsid w:val="00332128"/>
    <w:rsid w:val="00332FEC"/>
    <w:rsid w:val="003459D7"/>
    <w:rsid w:val="00362EF6"/>
    <w:rsid w:val="00381ABD"/>
    <w:rsid w:val="003951E7"/>
    <w:rsid w:val="00397EC1"/>
    <w:rsid w:val="003B59AA"/>
    <w:rsid w:val="003C0666"/>
    <w:rsid w:val="003D3E1D"/>
    <w:rsid w:val="003D7CC0"/>
    <w:rsid w:val="003F0403"/>
    <w:rsid w:val="003F5034"/>
    <w:rsid w:val="00423566"/>
    <w:rsid w:val="00447DB2"/>
    <w:rsid w:val="00463734"/>
    <w:rsid w:val="00464541"/>
    <w:rsid w:val="00467A72"/>
    <w:rsid w:val="00472937"/>
    <w:rsid w:val="0048113F"/>
    <w:rsid w:val="004A5967"/>
    <w:rsid w:val="004A6BFE"/>
    <w:rsid w:val="004B78EC"/>
    <w:rsid w:val="004C5772"/>
    <w:rsid w:val="004C75E7"/>
    <w:rsid w:val="004D2A9F"/>
    <w:rsid w:val="004D4B61"/>
    <w:rsid w:val="004E16D8"/>
    <w:rsid w:val="005064CE"/>
    <w:rsid w:val="00510FDC"/>
    <w:rsid w:val="005164A5"/>
    <w:rsid w:val="00517CDE"/>
    <w:rsid w:val="00525CE3"/>
    <w:rsid w:val="00541674"/>
    <w:rsid w:val="005565E0"/>
    <w:rsid w:val="0055736D"/>
    <w:rsid w:val="00576DCC"/>
    <w:rsid w:val="0058524A"/>
    <w:rsid w:val="00591ED2"/>
    <w:rsid w:val="00593B19"/>
    <w:rsid w:val="005B4A06"/>
    <w:rsid w:val="005C3707"/>
    <w:rsid w:val="005E27D4"/>
    <w:rsid w:val="005E5DC7"/>
    <w:rsid w:val="00605301"/>
    <w:rsid w:val="006065AD"/>
    <w:rsid w:val="00610050"/>
    <w:rsid w:val="0061472B"/>
    <w:rsid w:val="00615635"/>
    <w:rsid w:val="006224DB"/>
    <w:rsid w:val="00623385"/>
    <w:rsid w:val="00652735"/>
    <w:rsid w:val="00660E22"/>
    <w:rsid w:val="00661639"/>
    <w:rsid w:val="00673AC2"/>
    <w:rsid w:val="00693C16"/>
    <w:rsid w:val="006B298D"/>
    <w:rsid w:val="006E71B9"/>
    <w:rsid w:val="006F58AE"/>
    <w:rsid w:val="007020A1"/>
    <w:rsid w:val="007155ED"/>
    <w:rsid w:val="007259F8"/>
    <w:rsid w:val="00771C90"/>
    <w:rsid w:val="00775524"/>
    <w:rsid w:val="007E62F2"/>
    <w:rsid w:val="007E7F6F"/>
    <w:rsid w:val="007F0BFA"/>
    <w:rsid w:val="007F1D46"/>
    <w:rsid w:val="007F5736"/>
    <w:rsid w:val="00801C4C"/>
    <w:rsid w:val="0081420E"/>
    <w:rsid w:val="008159CE"/>
    <w:rsid w:val="00816AFE"/>
    <w:rsid w:val="008671D3"/>
    <w:rsid w:val="0087625B"/>
    <w:rsid w:val="0088281A"/>
    <w:rsid w:val="008A0F4C"/>
    <w:rsid w:val="008A424A"/>
    <w:rsid w:val="00901150"/>
    <w:rsid w:val="00924E57"/>
    <w:rsid w:val="00937613"/>
    <w:rsid w:val="00942727"/>
    <w:rsid w:val="00943672"/>
    <w:rsid w:val="00946553"/>
    <w:rsid w:val="00947266"/>
    <w:rsid w:val="00972201"/>
    <w:rsid w:val="0097472A"/>
    <w:rsid w:val="00984914"/>
    <w:rsid w:val="009A03A4"/>
    <w:rsid w:val="009A3462"/>
    <w:rsid w:val="009A5EC1"/>
    <w:rsid w:val="009B27F6"/>
    <w:rsid w:val="009B6999"/>
    <w:rsid w:val="009C5A86"/>
    <w:rsid w:val="009E33B1"/>
    <w:rsid w:val="009F5AB5"/>
    <w:rsid w:val="00A33558"/>
    <w:rsid w:val="00A51DFE"/>
    <w:rsid w:val="00A53663"/>
    <w:rsid w:val="00A601FC"/>
    <w:rsid w:val="00A94D85"/>
    <w:rsid w:val="00A97D21"/>
    <w:rsid w:val="00AB4EC4"/>
    <w:rsid w:val="00AB5E5A"/>
    <w:rsid w:val="00AD6869"/>
    <w:rsid w:val="00AF3700"/>
    <w:rsid w:val="00AF7D71"/>
    <w:rsid w:val="00B14D93"/>
    <w:rsid w:val="00B4488A"/>
    <w:rsid w:val="00B72A01"/>
    <w:rsid w:val="00B77706"/>
    <w:rsid w:val="00B80DA1"/>
    <w:rsid w:val="00B94EB7"/>
    <w:rsid w:val="00BA0755"/>
    <w:rsid w:val="00BD3298"/>
    <w:rsid w:val="00BE5325"/>
    <w:rsid w:val="00BE5910"/>
    <w:rsid w:val="00BE7B5A"/>
    <w:rsid w:val="00C05D0C"/>
    <w:rsid w:val="00C23D5F"/>
    <w:rsid w:val="00C26D2A"/>
    <w:rsid w:val="00C503D0"/>
    <w:rsid w:val="00C77427"/>
    <w:rsid w:val="00CA2F8D"/>
    <w:rsid w:val="00CC2367"/>
    <w:rsid w:val="00CC3970"/>
    <w:rsid w:val="00CC540E"/>
    <w:rsid w:val="00CD662E"/>
    <w:rsid w:val="00CE5D34"/>
    <w:rsid w:val="00CF641B"/>
    <w:rsid w:val="00CF760E"/>
    <w:rsid w:val="00D06652"/>
    <w:rsid w:val="00D139E1"/>
    <w:rsid w:val="00D16FE9"/>
    <w:rsid w:val="00D2174A"/>
    <w:rsid w:val="00D252DC"/>
    <w:rsid w:val="00D430F4"/>
    <w:rsid w:val="00D73612"/>
    <w:rsid w:val="00D744F0"/>
    <w:rsid w:val="00D76852"/>
    <w:rsid w:val="00D854D0"/>
    <w:rsid w:val="00D91CAA"/>
    <w:rsid w:val="00D949FC"/>
    <w:rsid w:val="00D95063"/>
    <w:rsid w:val="00DA6655"/>
    <w:rsid w:val="00DB176E"/>
    <w:rsid w:val="00DC3955"/>
    <w:rsid w:val="00DD29E3"/>
    <w:rsid w:val="00DD46E2"/>
    <w:rsid w:val="00DE0239"/>
    <w:rsid w:val="00E27013"/>
    <w:rsid w:val="00E36E33"/>
    <w:rsid w:val="00E56AFB"/>
    <w:rsid w:val="00E877B7"/>
    <w:rsid w:val="00E9135A"/>
    <w:rsid w:val="00EC0C87"/>
    <w:rsid w:val="00EC272C"/>
    <w:rsid w:val="00EC36F6"/>
    <w:rsid w:val="00EC5021"/>
    <w:rsid w:val="00EE78DF"/>
    <w:rsid w:val="00EF0392"/>
    <w:rsid w:val="00EF629F"/>
    <w:rsid w:val="00F11060"/>
    <w:rsid w:val="00F12A7C"/>
    <w:rsid w:val="00F178F5"/>
    <w:rsid w:val="00F64980"/>
    <w:rsid w:val="00F7438E"/>
    <w:rsid w:val="00F76C44"/>
    <w:rsid w:val="00FA7DAA"/>
    <w:rsid w:val="00FC4416"/>
    <w:rsid w:val="00FD2CEF"/>
    <w:rsid w:val="00FD75B7"/>
    <w:rsid w:val="00FE2F5C"/>
    <w:rsid w:val="00FF4264"/>
    <w:rsid w:val="19D072A4"/>
    <w:rsid w:val="4412FD8B"/>
    <w:rsid w:val="49E260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C984"/>
  <w15:docId w15:val="{5BA2A6AF-CD1B-4BD3-8511-2D22174E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B7"/>
    <w:pPr>
      <w:spacing w:after="0" w:line="240" w:lineRule="auto"/>
    </w:pPr>
    <w:rPr>
      <w:rFonts w:ascii="Times New Roman" w:eastAsia="Times New Roman" w:hAnsi="Times New Roman" w:cs="Times New Roman"/>
      <w:sz w:val="24"/>
      <w:szCs w:val="24"/>
      <w:lang w:eastAsia="de-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332FEC"/>
    <w:pPr>
      <w:widowControl w:val="0"/>
      <w:autoSpaceDE w:val="0"/>
      <w:autoSpaceDN w:val="0"/>
      <w:adjustRightInd w:val="0"/>
      <w:spacing w:line="288" w:lineRule="auto"/>
      <w:textAlignment w:val="center"/>
    </w:pPr>
    <w:rPr>
      <w:rFonts w:ascii="Times-Roman" w:hAnsi="Times-Roman"/>
      <w:color w:val="000000"/>
      <w:lang w:eastAsia="de-DE"/>
    </w:rPr>
  </w:style>
  <w:style w:type="paragraph" w:customStyle="1" w:styleId="EinfacherAbsatz">
    <w:name w:val="[Einfacher Absatz]"/>
    <w:basedOn w:val="Normal"/>
    <w:rsid w:val="00332FEC"/>
    <w:pPr>
      <w:widowControl w:val="0"/>
      <w:autoSpaceDE w:val="0"/>
      <w:autoSpaceDN w:val="0"/>
      <w:adjustRightInd w:val="0"/>
      <w:spacing w:line="288" w:lineRule="auto"/>
      <w:textAlignment w:val="center"/>
    </w:pPr>
    <w:rPr>
      <w:rFonts w:ascii="Times-Roman" w:hAnsi="Times-Roman" w:cs="Times-Roman"/>
      <w:color w:val="000000"/>
      <w:lang w:eastAsia="de-DE" w:bidi="de-DE"/>
    </w:rPr>
  </w:style>
  <w:style w:type="paragraph" w:customStyle="1" w:styleId="KeinAbsatzformat">
    <w:name w:val="[Kein Absatzformat]"/>
    <w:link w:val="KeinAbsatzformatChar"/>
    <w:rsid w:val="00661639"/>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de-DE" w:bidi="de-DE"/>
    </w:rPr>
  </w:style>
  <w:style w:type="character" w:customStyle="1" w:styleId="KeinAbsatzformatChar">
    <w:name w:val="[Kein Absatzformat] Char"/>
    <w:link w:val="KeinAbsatzformat"/>
    <w:rsid w:val="00661639"/>
    <w:rPr>
      <w:rFonts w:ascii="MinionPro-Regular" w:eastAsia="Times New Roman" w:hAnsi="MinionPro-Regular" w:cs="MinionPro-Regular"/>
      <w:color w:val="000000"/>
      <w:sz w:val="24"/>
      <w:szCs w:val="24"/>
      <w:lang w:val="de-DE" w:eastAsia="de-DE" w:bidi="de-DE"/>
    </w:rPr>
  </w:style>
  <w:style w:type="paragraph" w:styleId="ListParagraph">
    <w:name w:val="List Paragraph"/>
    <w:basedOn w:val="Normal"/>
    <w:uiPriority w:val="34"/>
    <w:qFormat/>
    <w:rsid w:val="00661639"/>
    <w:pPr>
      <w:ind w:left="720"/>
      <w:contextualSpacing/>
    </w:pPr>
  </w:style>
  <w:style w:type="paragraph" w:styleId="BalloonText">
    <w:name w:val="Balloon Text"/>
    <w:basedOn w:val="Normal"/>
    <w:link w:val="BalloonTextChar"/>
    <w:semiHidden/>
    <w:unhideWhenUsed/>
    <w:rsid w:val="00972201"/>
    <w:rPr>
      <w:rFonts w:ascii="Tahoma" w:hAnsi="Tahoma" w:cs="Tahoma"/>
      <w:sz w:val="16"/>
      <w:szCs w:val="16"/>
    </w:rPr>
  </w:style>
  <w:style w:type="character" w:customStyle="1" w:styleId="BalloonTextChar">
    <w:name w:val="Balloon Text Char"/>
    <w:basedOn w:val="DefaultParagraphFont"/>
    <w:link w:val="BalloonText"/>
    <w:uiPriority w:val="99"/>
    <w:semiHidden/>
    <w:rsid w:val="00972201"/>
    <w:rPr>
      <w:rFonts w:ascii="Tahoma" w:eastAsia="Times New Roman" w:hAnsi="Tahoma" w:cs="Tahoma"/>
      <w:sz w:val="16"/>
      <w:szCs w:val="16"/>
      <w:lang w:val="de-DE" w:eastAsia="de-CH"/>
    </w:rPr>
  </w:style>
  <w:style w:type="paragraph" w:customStyle="1" w:styleId="Default">
    <w:name w:val="Default"/>
    <w:rsid w:val="0001556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06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6652"/>
    <w:pPr>
      <w:tabs>
        <w:tab w:val="center" w:pos="4513"/>
        <w:tab w:val="right" w:pos="9026"/>
      </w:tabs>
    </w:pPr>
  </w:style>
  <w:style w:type="character" w:customStyle="1" w:styleId="HeaderChar">
    <w:name w:val="Header Char"/>
    <w:basedOn w:val="DefaultParagraphFont"/>
    <w:link w:val="Header"/>
    <w:uiPriority w:val="99"/>
    <w:rsid w:val="00D06652"/>
    <w:rPr>
      <w:rFonts w:ascii="Times New Roman" w:eastAsia="Times New Roman" w:hAnsi="Times New Roman" w:cs="Times New Roman"/>
      <w:sz w:val="24"/>
      <w:szCs w:val="24"/>
      <w:lang w:val="de-DE" w:eastAsia="de-CH"/>
    </w:rPr>
  </w:style>
  <w:style w:type="paragraph" w:styleId="Footer">
    <w:name w:val="footer"/>
    <w:basedOn w:val="Normal"/>
    <w:link w:val="FooterChar"/>
    <w:uiPriority w:val="99"/>
    <w:unhideWhenUsed/>
    <w:rsid w:val="00D06652"/>
    <w:pPr>
      <w:tabs>
        <w:tab w:val="center" w:pos="4513"/>
        <w:tab w:val="right" w:pos="9026"/>
      </w:tabs>
    </w:pPr>
  </w:style>
  <w:style w:type="character" w:customStyle="1" w:styleId="FooterChar">
    <w:name w:val="Footer Char"/>
    <w:basedOn w:val="DefaultParagraphFont"/>
    <w:link w:val="Footer"/>
    <w:uiPriority w:val="99"/>
    <w:rsid w:val="00D06652"/>
    <w:rPr>
      <w:rFonts w:ascii="Times New Roman" w:eastAsia="Times New Roman" w:hAnsi="Times New Roman" w:cs="Times New Roman"/>
      <w:sz w:val="24"/>
      <w:szCs w:val="24"/>
      <w:lang w:val="de-DE" w:eastAsia="de-CH"/>
    </w:rPr>
  </w:style>
  <w:style w:type="character" w:styleId="Hyperlink">
    <w:name w:val="Hyperlink"/>
    <w:basedOn w:val="DefaultParagraphFont"/>
    <w:uiPriority w:val="99"/>
    <w:unhideWhenUsed/>
    <w:rsid w:val="00C503D0"/>
    <w:rPr>
      <w:color w:val="0000FF" w:themeColor="hyperlink"/>
      <w:u w:val="single"/>
    </w:rPr>
  </w:style>
  <w:style w:type="character" w:styleId="UnresolvedMention">
    <w:name w:val="Unresolved Mention"/>
    <w:basedOn w:val="DefaultParagraphFont"/>
    <w:uiPriority w:val="99"/>
    <w:semiHidden/>
    <w:unhideWhenUsed/>
    <w:rsid w:val="00C503D0"/>
    <w:rPr>
      <w:color w:val="605E5C"/>
      <w:shd w:val="clear" w:color="auto" w:fill="E1DFDD"/>
    </w:rPr>
  </w:style>
  <w:style w:type="paragraph" w:styleId="Revision">
    <w:name w:val="Revision"/>
    <w:hidden/>
    <w:uiPriority w:val="99"/>
    <w:semiHidden/>
    <w:rsid w:val="003951E7"/>
    <w:pPr>
      <w:spacing w:after="0"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21741">
      <w:bodyDiv w:val="1"/>
      <w:marLeft w:val="0"/>
      <w:marRight w:val="0"/>
      <w:marTop w:val="0"/>
      <w:marBottom w:val="0"/>
      <w:divBdr>
        <w:top w:val="none" w:sz="0" w:space="0" w:color="auto"/>
        <w:left w:val="none" w:sz="0" w:space="0" w:color="auto"/>
        <w:bottom w:val="none" w:sz="0" w:space="0" w:color="auto"/>
        <w:right w:val="none" w:sz="0" w:space="0" w:color="auto"/>
      </w:divBdr>
    </w:div>
    <w:div w:id="1898779647">
      <w:bodyDiv w:val="1"/>
      <w:marLeft w:val="0"/>
      <w:marRight w:val="0"/>
      <w:marTop w:val="0"/>
      <w:marBottom w:val="0"/>
      <w:divBdr>
        <w:top w:val="none" w:sz="0" w:space="0" w:color="auto"/>
        <w:left w:val="none" w:sz="0" w:space="0" w:color="auto"/>
        <w:bottom w:val="none" w:sz="0" w:space="0" w:color="auto"/>
        <w:right w:val="none" w:sz="0" w:space="0" w:color="auto"/>
      </w:divBdr>
    </w:div>
    <w:div w:id="2011760338">
      <w:bodyDiv w:val="1"/>
      <w:marLeft w:val="0"/>
      <w:marRight w:val="0"/>
      <w:marTop w:val="0"/>
      <w:marBottom w:val="0"/>
      <w:divBdr>
        <w:top w:val="none" w:sz="0" w:space="0" w:color="auto"/>
        <w:left w:val="none" w:sz="0" w:space="0" w:color="auto"/>
        <w:bottom w:val="none" w:sz="0" w:space="0" w:color="auto"/>
        <w:right w:val="none" w:sz="0" w:space="0" w:color="auto"/>
      </w:divBdr>
    </w:div>
    <w:div w:id="214612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D6748C2EDCA44AF6F68BB116BEC1D" ma:contentTypeVersion="23" ma:contentTypeDescription="Create a new document." ma:contentTypeScope="" ma:versionID="9def48a37d27d26c51df659e4773b93c">
  <xsd:schema xmlns:xsd="http://www.w3.org/2001/XMLSchema" xmlns:xs="http://www.w3.org/2001/XMLSchema" xmlns:p="http://schemas.microsoft.com/office/2006/metadata/properties" xmlns:ns2="3b382a5f-b871-40b2-afd2-638c5b7f8fb7" xmlns:ns3="82b047f4-b12c-4294-a196-975ab2d1af56" targetNamespace="http://schemas.microsoft.com/office/2006/metadata/properties" ma:root="true" ma:fieldsID="a962af3f7301f8bff463cf696629eefc" ns2:_="" ns3:_="">
    <xsd:import namespace="3b382a5f-b871-40b2-afd2-638c5b7f8fb7"/>
    <xsd:import namespace="82b047f4-b12c-4294-a196-975ab2d1af56"/>
    <xsd:element name="properties">
      <xsd:complexType>
        <xsd:sequence>
          <xsd:element name="documentManagement">
            <xsd:complexType>
              <xsd:all>
                <xsd:element ref="ns3:fd4014056ecd469d948491749f9119a0" minOccurs="0"/>
                <xsd:element ref="ns3:TaxCatchAll" minOccurs="0"/>
                <xsd:element ref="ns3:k4e1c828ceaa42368f9451e53768eb72"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a5f-b871-40b2-afd2-638c5b7f8fb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a1eaae-7a8c-4fb9-95e5-02576394bf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047f4-b12c-4294-a196-975ab2d1af56" elementFormDefault="qualified">
    <xsd:import namespace="http://schemas.microsoft.com/office/2006/documentManagement/types"/>
    <xsd:import namespace="http://schemas.microsoft.com/office/infopath/2007/PartnerControls"/>
    <xsd:element name="fd4014056ecd469d948491749f9119a0" ma:index="9" nillable="true" ma:displayName="Legal Entity_0" ma:hidden="true" ma:internalName="fd4014056ecd469d948491749f9119a0">
      <xsd:simpleType>
        <xsd:restriction base="dms:Note"/>
      </xsd:simpleType>
    </xsd:element>
    <xsd:element name="TaxCatchAll" ma:index="10" nillable="true" ma:displayName="Taxonomy Catch All Column" ma:description="" ma:hidden="true" ma:list="{1b8ddf50-b7ea-4801-a91c-5ea9bdd93369}" ma:internalName="TaxCatchAll" ma:showField="CatchAllData" ma:web="82b047f4-b12c-4294-a196-975ab2d1af56">
      <xsd:complexType>
        <xsd:complexContent>
          <xsd:extension base="dms:MultiChoiceLookup">
            <xsd:sequence>
              <xsd:element name="Value" type="dms:Lookup" maxOccurs="unbounded" minOccurs="0" nillable="true"/>
            </xsd:sequence>
          </xsd:extension>
        </xsd:complexContent>
      </xsd:complexType>
    </xsd:element>
    <xsd:element name="k4e1c828ceaa42368f9451e53768eb72" ma:index="12" nillable="true" ma:displayName="Organizational Unit_0" ma:hidden="true" ma:internalName="k4e1c828ceaa42368f9451e53768eb72">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3b465d2e-2285-4975-a59d-f56ded1e7838" origin="defaultValue">
  <element uid="id_classification_confidential" value=""/>
  <element uid="id_markingvisibility_removefooter"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e1c828ceaa42368f9451e53768eb72 xmlns="82b047f4-b12c-4294-a196-975ab2d1af56" xsi:nil="true"/>
    <fd4014056ecd469d948491749f9119a0 xmlns="82b047f4-b12c-4294-a196-975ab2d1af56" xsi:nil="true"/>
    <lcf76f155ced4ddcb4097134ff3c332f xmlns="3b382a5f-b871-40b2-afd2-638c5b7f8fb7">
      <Terms xmlns="http://schemas.microsoft.com/office/infopath/2007/PartnerControls"/>
    </lcf76f155ced4ddcb4097134ff3c332f>
    <TaxCatchAll xmlns="82b047f4-b12c-4294-a196-975ab2d1af56">
      <Value>2</Value>
      <Value>1</Value>
    </TaxCatchAll>
  </documentManagement>
</p:properties>
</file>

<file path=customXml/itemProps1.xml><?xml version="1.0" encoding="utf-8"?>
<ds:datastoreItem xmlns:ds="http://schemas.openxmlformats.org/officeDocument/2006/customXml" ds:itemID="{43832057-BDEF-4F1C-AF1A-14862C28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a5f-b871-40b2-afd2-638c5b7f8fb7"/>
    <ds:schemaRef ds:uri="82b047f4-b12c-4294-a196-975ab2d1a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E215C-CF93-4122-9298-E2527766320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E701063-D76E-4833-A434-C33B6251EEB1}">
  <ds:schemaRefs>
    <ds:schemaRef ds:uri="http://schemas.microsoft.com/sharepoint/v3/contenttype/forms"/>
  </ds:schemaRefs>
</ds:datastoreItem>
</file>

<file path=customXml/itemProps4.xml><?xml version="1.0" encoding="utf-8"?>
<ds:datastoreItem xmlns:ds="http://schemas.openxmlformats.org/officeDocument/2006/customXml" ds:itemID="{F9C0078C-C7D0-4DA9-A166-30F5D13302EF}">
  <ds:schemaRefs>
    <ds:schemaRef ds:uri="http://schemas.microsoft.com/office/2006/metadata/properties"/>
    <ds:schemaRef ds:uri="http://schemas.microsoft.com/office/infopath/2007/PartnerControls"/>
    <ds:schemaRef ds:uri="82b047f4-b12c-4294-a196-975ab2d1af56"/>
    <ds:schemaRef ds:uri="3b382a5f-b871-40b2-afd2-638c5b7f8f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4485</Characters>
  <Application>Microsoft Office Word</Application>
  <DocSecurity>0</DocSecurity>
  <Lines>121</Lines>
  <Paragraphs>48</Paragraphs>
  <ScaleCrop>false</ScaleCrop>
  <Company>Allianz Global Investors KAGmbH</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Schwabe, Daniela (AGI-L)</dc:creator>
  <cp:keywords>Confidential</cp:keywords>
  <cp:lastModifiedBy>Litsas, Anastasios (AllianzGI)</cp:lastModifiedBy>
  <cp:revision>2</cp:revision>
  <cp:lastPrinted>2024-11-07T09:11:00Z</cp:lastPrinted>
  <dcterms:created xsi:type="dcterms:W3CDTF">2025-12-15T16:08:00Z</dcterms:created>
  <dcterms:modified xsi:type="dcterms:W3CDTF">2025-12-15T16:08:00Z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e0955d7c-fa65-42be-9868-fcee0b175848</vt:lpwstr>
  </property>
  <property fmtid="{D5CDD505-2E9C-101B-9397-08002B2CF9AE}" pid="3" name="AZI-Canary-Word">
    <vt:lpwstr>Confidential</vt:lpwstr>
  </property>
  <property fmtid="{D5CDD505-2E9C-101B-9397-08002B2CF9AE}" pid="4" name="bjDocumentLabelXML">
    <vt:lpwstr>&lt;?xml version="1.0" encoding="us-ascii"?&gt;&lt;sisl xmlns:xsi="http://www.w3.org/2001/XMLSchema-instance" xmlns:xsd="http://www.w3.org/2001/XMLSchema" sislVersion="0" policy="3b465d2e-2285-4975-a59d-f56ded1e7838" origin="defaultValue" xmlns="http://www.boldonj</vt:lpwstr>
  </property>
  <property fmtid="{D5CDD505-2E9C-101B-9397-08002B2CF9AE}" pid="5" name="bjDocumentLabelXML-0">
    <vt:lpwstr>ames.com/2008/01/sie/internal/label"&gt;&lt;element uid="id_classification_confidential" value="" /&gt;&lt;element uid="id_markingvisibility_removefooter" value="" /&gt;&lt;/sisl&gt;</vt:lpwstr>
  </property>
  <property fmtid="{D5CDD505-2E9C-101B-9397-08002B2CF9AE}" pid="6" name="bjDocumentSecurityLabel">
    <vt:lpwstr>Confidential Remove Footer</vt:lpwstr>
  </property>
  <property fmtid="{D5CDD505-2E9C-101B-9397-08002B2CF9AE}" pid="7" name="bjSaver">
    <vt:lpwstr>PWDGE0E6HwLkvZaEgv4KpzVGQsfT9aG0</vt:lpwstr>
  </property>
  <property fmtid="{D5CDD505-2E9C-101B-9397-08002B2CF9AE}" pid="8" name="MSIP_Label_91609b90-44b7-4a75-a6a6-3abfa61ed0eb_Enabled">
    <vt:lpwstr>true</vt:lpwstr>
  </property>
  <property fmtid="{D5CDD505-2E9C-101B-9397-08002B2CF9AE}" pid="9" name="MSIP_Label_91609b90-44b7-4a75-a6a6-3abfa61ed0eb_SetDate">
    <vt:lpwstr>2022-01-17T14:48:30Z</vt:lpwstr>
  </property>
  <property fmtid="{D5CDD505-2E9C-101B-9397-08002B2CF9AE}" pid="10" name="MSIP_Label_91609b90-44b7-4a75-a6a6-3abfa61ed0eb_Method">
    <vt:lpwstr>Privileged</vt:lpwstr>
  </property>
  <property fmtid="{D5CDD505-2E9C-101B-9397-08002B2CF9AE}" pid="11" name="MSIP_Label_91609b90-44b7-4a75-a6a6-3abfa61ed0eb_Name">
    <vt:lpwstr>91609b90-44b7-4a75-a6a6-3abfa61ed0eb</vt:lpwstr>
  </property>
  <property fmtid="{D5CDD505-2E9C-101B-9397-08002B2CF9AE}" pid="12" name="MSIP_Label_91609b90-44b7-4a75-a6a6-3abfa61ed0eb_SiteId">
    <vt:lpwstr>a1eacbd5-fb0e-46f1-81e3-4965ea8e45bb</vt:lpwstr>
  </property>
  <property fmtid="{D5CDD505-2E9C-101B-9397-08002B2CF9AE}" pid="13" name="MSIP_Label_91609b90-44b7-4a75-a6a6-3abfa61ed0eb_ActionId">
    <vt:lpwstr>5b8ecf8d-c464-4fa1-adf5-ce76059f7805</vt:lpwstr>
  </property>
  <property fmtid="{D5CDD505-2E9C-101B-9397-08002B2CF9AE}" pid="14" name="MSIP_Label_91609b90-44b7-4a75-a6a6-3abfa61ed0eb_ContentBits">
    <vt:lpwstr>0</vt:lpwstr>
  </property>
  <property fmtid="{D5CDD505-2E9C-101B-9397-08002B2CF9AE}" pid="15" name="ContentTypeId">
    <vt:lpwstr>0x010100C34D6748C2EDCA44AF6F68BB116BEC1D</vt:lpwstr>
  </property>
  <property fmtid="{D5CDD505-2E9C-101B-9397-08002B2CF9AE}" pid="16" name="k4e1c828ceaa42368f9451e53768eb720">
    <vt:lpwstr>Fund Setup EU [51000527]|a6a4b3ca-c228-493b-abcb-3bb59f6e7da3</vt:lpwstr>
  </property>
  <property fmtid="{D5CDD505-2E9C-101B-9397-08002B2CF9AE}" pid="17" name="fd4014056ecd469d948491749f9119a00">
    <vt:lpwstr>AllianzGI GmbH /LU Branch [DE0588]|fdc9491e-715f-48d7-a668-dc4207a81b63</vt:lpwstr>
  </property>
  <property fmtid="{D5CDD505-2E9C-101B-9397-08002B2CF9AE}" pid="18" name="OrganizationalUnit">
    <vt:lpwstr>2;#Fund Setup EU [51000527]|a6a4b3ca-c228-493b-abcb-3bb59f6e7da3</vt:lpwstr>
  </property>
  <property fmtid="{D5CDD505-2E9C-101B-9397-08002B2CF9AE}" pid="19" name="MediaServiceImageTags">
    <vt:lpwstr/>
  </property>
  <property fmtid="{D5CDD505-2E9C-101B-9397-08002B2CF9AE}" pid="20" name="LegalEntity">
    <vt:lpwstr>1;#AllianzGI GmbH /LU Branch [DE0588]|fdc9491e-715f-48d7-a668-dc4207a81b63</vt:lpwstr>
  </property>
  <property fmtid="{D5CDD505-2E9C-101B-9397-08002B2CF9AE}" pid="21" name="docLang">
    <vt:lpwstr>en</vt:lpwstr>
  </property>
</Properties>
</file>